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Light" w:hAnsi="Helvetica Light" w:cs="Helvetica Light"/>
          <w:sz w:val="24"/>
          <w:sz-cs w:val="24"/>
        </w:rPr>
        <w:t xml:space="preserve">"Politics is a strong and slow boring of hard boards." — Max Weber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Max Weber’s Favorite Crypto Funds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Introduction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Max Weber, German sociologist, analyzed how ideas, ethics, and institutions shape economic life.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In The Protestant Ethic and the Spirit of Capitalism, he argued that religious values of discipline, rationality, and deferred gratification fostered modern capitalism.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He also studied rationalization and bureaucracy as central forces in modern society.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Applying Weber’s perspective to crypto funds highlights the ethical, cultural, and institutional dimensions of investment.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Weber and Money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Money is not only an economic medium but also a cultural construct embedded in values and ethics.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Capitalism depends on rational calculation, predictability, and disciplined pursuit of profit.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Weber argued that Protestant ethics encouraged disciplined accumulation rather than reckless consumption.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Crypto funds, in his lens, are shaped by ethical orientations, rationalization through technology, and institutional legitimacy.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The Spirit of Crypto-Capitalism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Bitcoin maximalism reflects an ethic of scarcity, discipline, and deferred gratification.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Investors treat Bitcoin like “digital gold,” demanding patience and moral commitment.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Meme coin speculation represents the opposite: reckless play, immediate gratification, and detachment from discipline.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Ethereum and DeFi embody rationalization, turning financial interactions into coded bureaucratic processes.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Crypto funds express competing spirits: ascetic discipline, playful speculation, and rationalized efficiency.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Rationalization and Crypto Funds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Weber emphasized rationalization: the replacement of tradition with systematic calculation and rules.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Crypto funds illustrate rationalization in multiple ways:</w:t>
        <w:br/>
        <w:t xml:space="preserve">• Automated portfolio rebalancing through algorithms.</w:t>
        <w:br/>
        <w:t xml:space="preserve">• Smart contracts that enforce rules without human discretion.</w:t>
        <w:br/>
        <w:t xml:space="preserve">• Index funds that model the market statistically.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Rationalization creates predictability but can also generate new forms of bureaucratic domination.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Investors may feel trapped in systems of code and regulation, echoing Weber’s “iron cage.”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Types of Authority and Legitimacy in Crypto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Traditional Authority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Rooted in customs and long-standing belief.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Gold-backed funds resemble this form of legitimacy.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Crypto invokes tradition through analogies with gold, but disrupts older authority.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Charismatic Authority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Rooted in the vision of leaders and innovators.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Meme coin funds depend heavily on charismatic figures, influencers, or communities.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Trust in leaders rather than rational structures drives investment.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Rational-Legal Authority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Rooted in rules, bureaucracy, and institutional frameworks.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Bitcoin ETFs, Ethereum trusts, and regulated index funds exemplify this.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Depend on legal recognition and rational procedures for legitimacy.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Typology of Crypto Funds in Weber’s Lens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Bitcoin Funds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Embody ascetic discipline and deferred gratification.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Reflect Protestant ethic of saving and waiting for long-term reward.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Symbolize rationalization through scarcity and predictable supply.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Ethereum Funds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Represent rational-legal authority through smart contracts and DAOs.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Embody rationalization of finance into programmable processes.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Attract investors who value innovation combined with systemic rules.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Meme Coin Funds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Operate on charisma and community energy.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Represent the irrational and playful side of capitalism.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Lack disciplined ethic, but reveal power of collective enthusiasm.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Privacy Coin Funds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Challenge rational-legal authority by resisting surveillance and regulation.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Embody ethical commitment to autonomy but conflict with bureaucratic rationalization.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Index Funds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Express rationalization through statistical representation of the whole market.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Provide systematic, rule-based exposure to diversity of assets.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Symbolize bureaucratic ordering of liquidity into predictable categories.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Weber’s Warnings for the Crypto Age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Rationalization may create new “iron cages” where investors are trapped by algorithms, code, and bureaucracy.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Ascetic discipline of Bitcoin maximalism can slide into dogmatism and rigidity.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Charismatic authority of meme funds is unstable and prone to collapse when leaders fade.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Rational-legal structures provide legitimacy but risk over-bureaucratization.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Weber would caution that crypto funds reflect the tensions of modernity: freedom and creativity on one side, bureaucratic domination on the other.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Conclusion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Weber would see crypto funds as cultural as much as financial.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Bitcoin funds embody the Protestant ethic of discipline and deferred reward.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Ethereum funds express rationalization and institutional innovation.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Meme funds rely on charisma and enthusiasm.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Privacy funds resist bureaucratic surveillance.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Index funds embody rational-legal ordering of financial life.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His lesson: crypto funds represent competing spirits of modern capitalism, oscillating between discipline, charisma, and bureaucracy.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Weber would remind us that rationalization, while powerful, risks producing an iron cage of regulation and algorithmic control.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How This Connects to Moolah Capital: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While Weber offers theoretical insights into rationalization and authority in finance, Moolah Capital provides practical implementation through our diversified fund offerings. Our AlphaGlobal Momentum Fund embodies Weber's rational-legal authority through systematic, rule-based strategies. Our Market Index Fund represents the rationalization of crypto investing—removing emotional decision-making in favor of disciplined, algorithmic allocation.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Disclaimer: This is a theoretical thought experiment, not investment advice. Moolah Capital provides practical crypto investment solutions. Consult our professional funds for actionable investment strategies.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"The Protestant work ethic was a force behind an unplanned and uncoordinated mass action that influenced the development of capitalism." — Max Weber</w:t>
      </w:r>
    </w:p>
    <w:sectPr/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CocoaOOXMLWriter/2575.4</generator>
</meta>
</file>