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b3659233aa189f26b33d365766bce1a4e38868d"/>
    <w:p>
      <w:pPr>
        <w:pStyle w:val="Heading1"/>
      </w:pPr>
      <w:r>
        <w:t xml:space="preserve">Bitcoin ETFs vs. Direct Holdings: The New Investment Calculus</w:t>
      </w:r>
    </w:p>
    <w:p>
      <w:pPr>
        <w:pStyle w:val="FirstParagraph"/>
      </w:pPr>
      <w:r>
        <w:t xml:space="preserve">With spot Bitcoin ETFs now approved in major jurisdictions, investors face a fundamental choice: should they hold Bitcoin directly or gain exposure via ETFs? The decision has significant implications for taxes, custody, fees, liquidity, and portfolio construction.</w:t>
      </w:r>
    </w:p>
    <w:p>
      <w:r>
        <w:pict>
          <v:rect style="width:0;height:1.5pt" o:hralign="center" o:hrstd="t" o:hr="t"/>
        </w:pict>
      </w:r>
    </w:p>
    <w:bookmarkStart w:id="20" w:name="Xb056760b7577cb7501ab9f835e760ebdbe6222a"/>
    <w:p>
      <w:pPr>
        <w:pStyle w:val="Heading2"/>
      </w:pPr>
      <w:r>
        <w:t xml:space="preserve">1. Tax Implications in Different Jurisdictions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United States</w:t>
      </w:r>
    </w:p>
    <w:p>
      <w:pPr>
        <w:numPr>
          <w:ilvl w:val="1"/>
          <w:numId w:val="1002"/>
        </w:numPr>
        <w:pStyle w:val="Compact"/>
      </w:pPr>
      <w:r>
        <w:t xml:space="preserve">ETFs: taxed like stocks (capital gains on sale). Eligible for retirement accounts like IRAs and 401(k)s, offering tax deferral.</w:t>
      </w:r>
    </w:p>
    <w:p>
      <w:pPr>
        <w:numPr>
          <w:ilvl w:val="1"/>
          <w:numId w:val="1002"/>
        </w:numPr>
        <w:pStyle w:val="Compact"/>
      </w:pPr>
      <w:r>
        <w:t xml:space="preserve">Direct BTC: taxed as property. Every transaction (even buying coffee) can trigger a taxable event. Reporting is more complex.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Europe</w:t>
      </w:r>
    </w:p>
    <w:p>
      <w:pPr>
        <w:numPr>
          <w:ilvl w:val="1"/>
          <w:numId w:val="1003"/>
        </w:numPr>
        <w:pStyle w:val="Compact"/>
      </w:pPr>
      <w:r>
        <w:t xml:space="preserve">Many countries tax crypto gains differently than securities. Direct holdings may get more favorable treatment than ETFs.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Asia</w:t>
      </w:r>
    </w:p>
    <w:p>
      <w:pPr>
        <w:numPr>
          <w:ilvl w:val="1"/>
          <w:numId w:val="1004"/>
        </w:numPr>
        <w:pStyle w:val="Compact"/>
      </w:pPr>
      <w:r>
        <w:t xml:space="preserve">Japan and Korea treat crypto as income in many cases, with higher effective tax rates than ETF holdings.</w:t>
      </w:r>
    </w:p>
    <w:p>
      <w:pPr>
        <w:pStyle w:val="FirstParagraph"/>
      </w:pPr>
      <w:r>
        <w:rPr>
          <w:bCs/>
          <w:b/>
        </w:rPr>
        <w:t xml:space="preserve">Key takeaway</w:t>
      </w:r>
      <w:r>
        <w:t xml:space="preserve">: ETFs simplify tax reporting in most jurisdictions, but direct holdings sometimes unlock favorable treatment or exemptions.</w:t>
      </w:r>
    </w:p>
    <w:p>
      <w:r>
        <w:pict>
          <v:rect style="width:0;height:1.5pt" o:hralign="center" o:hrstd="t" o:hr="t"/>
        </w:pict>
      </w:r>
    </w:p>
    <w:bookmarkEnd w:id="20"/>
    <w:bookmarkStart w:id="21" w:name="custody-and-security-considerations"/>
    <w:p>
      <w:pPr>
        <w:pStyle w:val="Heading2"/>
      </w:pPr>
      <w:r>
        <w:t xml:space="preserve">2. Custody and Security Considerations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ETFs</w:t>
      </w:r>
    </w:p>
    <w:p>
      <w:pPr>
        <w:numPr>
          <w:ilvl w:val="1"/>
          <w:numId w:val="1006"/>
        </w:numPr>
        <w:pStyle w:val="Compact"/>
      </w:pPr>
      <w:r>
        <w:t xml:space="preserve">Custody is outsourced to regulated custodians like Coinbase Custody, Fidelity, or BNY Mellon.</w:t>
      </w:r>
    </w:p>
    <w:p>
      <w:pPr>
        <w:numPr>
          <w:ilvl w:val="1"/>
          <w:numId w:val="1006"/>
        </w:numPr>
        <w:pStyle w:val="Compact"/>
      </w:pPr>
      <w:r>
        <w:t xml:space="preserve">Investors avoid private key management risks.</w:t>
      </w:r>
    </w:p>
    <w:p>
      <w:pPr>
        <w:numPr>
          <w:ilvl w:val="1"/>
          <w:numId w:val="1006"/>
        </w:numPr>
        <w:pStyle w:val="Compact"/>
      </w:pPr>
      <w:r>
        <w:t xml:space="preserve">However, they accept counterparty and systemic risks (custodian failure, regulatory seizure).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Direct Holdings</w:t>
      </w:r>
    </w:p>
    <w:p>
      <w:pPr>
        <w:numPr>
          <w:ilvl w:val="1"/>
          <w:numId w:val="1007"/>
        </w:numPr>
        <w:pStyle w:val="Compact"/>
      </w:pPr>
      <w:r>
        <w:t xml:space="preserve">Maximum control with self-custody (hardware wallets, multisig).</w:t>
      </w:r>
    </w:p>
    <w:p>
      <w:pPr>
        <w:numPr>
          <w:ilvl w:val="1"/>
          <w:numId w:val="1007"/>
        </w:numPr>
        <w:pStyle w:val="Compact"/>
      </w:pPr>
      <w:r>
        <w:t xml:space="preserve">Eliminates custodian counterparty risk.</w:t>
      </w:r>
    </w:p>
    <w:p>
      <w:pPr>
        <w:numPr>
          <w:ilvl w:val="1"/>
          <w:numId w:val="1007"/>
        </w:numPr>
        <w:pStyle w:val="Compact"/>
      </w:pPr>
      <w:r>
        <w:t xml:space="preserve">Higher personal responsibility; risk of theft, loss of keys, or operational errors.</w:t>
      </w:r>
    </w:p>
    <w:p>
      <w:pPr>
        <w:pStyle w:val="FirstParagraph"/>
      </w:pPr>
      <w:r>
        <w:rPr>
          <w:bCs/>
          <w:b/>
        </w:rPr>
        <w:t xml:space="preserve">Key takeaway</w:t>
      </w:r>
      <w:r>
        <w:t xml:space="preserve">: ETFs shift security risk to institutions; direct holdings demand personal discipline.</w:t>
      </w:r>
    </w:p>
    <w:p>
      <w:r>
        <w:pict>
          <v:rect style="width:0;height:1.5pt" o:hralign="center" o:hrstd="t" o:hr="t"/>
        </w:pict>
      </w:r>
    </w:p>
    <w:bookmarkEnd w:id="21"/>
    <w:bookmarkStart w:id="22" w:name="fee-structures-and-hidden-costs"/>
    <w:p>
      <w:pPr>
        <w:pStyle w:val="Heading2"/>
      </w:pPr>
      <w:r>
        <w:t xml:space="preserve">3. Fee Structures and Hidden Costs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ETFs</w:t>
      </w:r>
    </w:p>
    <w:p>
      <w:pPr>
        <w:numPr>
          <w:ilvl w:val="1"/>
          <w:numId w:val="1009"/>
        </w:numPr>
        <w:pStyle w:val="Compact"/>
      </w:pPr>
      <w:r>
        <w:t xml:space="preserve">Expense ratios range from 0.12% (Bitwise) to 1.5% (smaller funds).</w:t>
      </w:r>
    </w:p>
    <w:p>
      <w:pPr>
        <w:numPr>
          <w:ilvl w:val="1"/>
          <w:numId w:val="1009"/>
        </w:numPr>
        <w:pStyle w:val="Compact"/>
      </w:pPr>
      <w:r>
        <w:t xml:space="preserve">Investors also pay brokerage spreads and potential premiums/discounts to NAV.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Direct Holdings</w:t>
      </w:r>
    </w:p>
    <w:p>
      <w:pPr>
        <w:numPr>
          <w:ilvl w:val="1"/>
          <w:numId w:val="1010"/>
        </w:numPr>
        <w:pStyle w:val="Compact"/>
      </w:pPr>
      <w:r>
        <w:t xml:space="preserve">No ongoing fees.</w:t>
      </w:r>
    </w:p>
    <w:p>
      <w:pPr>
        <w:numPr>
          <w:ilvl w:val="1"/>
          <w:numId w:val="1010"/>
        </w:numPr>
        <w:pStyle w:val="Compact"/>
      </w:pPr>
      <w:r>
        <w:t xml:space="preserve">One-time costs: exchange trading fees, network fees for withdrawals and transfers, hardware wallet purchase.</w:t>
      </w:r>
    </w:p>
    <w:p>
      <w:pPr>
        <w:pStyle w:val="FirstParagraph"/>
      </w:pPr>
      <w:r>
        <w:rPr>
          <w:bCs/>
          <w:b/>
        </w:rPr>
        <w:t xml:space="preserve">Key takeaway</w:t>
      </w:r>
      <w:r>
        <w:t xml:space="preserve">: ETFs charge continuous management fees, while direct holdings have upfront but lower ongoing costs.</w:t>
      </w:r>
    </w:p>
    <w:p>
      <w:r>
        <w:pict>
          <v:rect style="width:0;height:1.5pt" o:hralign="center" o:hrstd="t" o:hr="t"/>
        </w:pict>
      </w:r>
    </w:p>
    <w:bookmarkEnd w:id="22"/>
    <w:bookmarkStart w:id="23" w:name="liquidity-and-trading-differences"/>
    <w:p>
      <w:pPr>
        <w:pStyle w:val="Heading2"/>
      </w:pPr>
      <w:r>
        <w:t xml:space="preserve">4. Liquidity and Trading Differences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ETFs</w:t>
      </w:r>
    </w:p>
    <w:p>
      <w:pPr>
        <w:numPr>
          <w:ilvl w:val="1"/>
          <w:numId w:val="1012"/>
        </w:numPr>
        <w:pStyle w:val="Compact"/>
      </w:pPr>
      <w:r>
        <w:t xml:space="preserve">Trade during stock market hours (9:30–4:00 ET in the U.S.).</w:t>
      </w:r>
    </w:p>
    <w:p>
      <w:pPr>
        <w:numPr>
          <w:ilvl w:val="1"/>
          <w:numId w:val="1012"/>
        </w:numPr>
        <w:pStyle w:val="Compact"/>
      </w:pPr>
      <w:r>
        <w:t xml:space="preserve">Can be shorted or hedged using options (on some ETFs).</w:t>
      </w:r>
    </w:p>
    <w:p>
      <w:pPr>
        <w:numPr>
          <w:ilvl w:val="1"/>
          <w:numId w:val="1012"/>
        </w:numPr>
        <w:pStyle w:val="Compact"/>
      </w:pPr>
      <w:r>
        <w:t xml:space="preserve">Offer traditional market liquidity but not 24/7 access.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Direct Holdings</w:t>
      </w:r>
    </w:p>
    <w:p>
      <w:pPr>
        <w:numPr>
          <w:ilvl w:val="1"/>
          <w:numId w:val="1013"/>
        </w:numPr>
        <w:pStyle w:val="Compact"/>
      </w:pPr>
      <w:r>
        <w:t xml:space="preserve">Trade globally 24/7, across hundreds of exchanges and P2P platforms.</w:t>
      </w:r>
    </w:p>
    <w:p>
      <w:pPr>
        <w:numPr>
          <w:ilvl w:val="1"/>
          <w:numId w:val="1013"/>
        </w:numPr>
        <w:pStyle w:val="Compact"/>
      </w:pPr>
      <w:r>
        <w:t xml:space="preserve">Liquidity is fragmented but always available.</w:t>
      </w:r>
    </w:p>
    <w:p>
      <w:pPr>
        <w:numPr>
          <w:ilvl w:val="1"/>
          <w:numId w:val="1013"/>
        </w:numPr>
        <w:pStyle w:val="Compact"/>
      </w:pPr>
      <w:r>
        <w:t xml:space="preserve">No traditional options or hedging tools without derivatives exposure.</w:t>
      </w:r>
    </w:p>
    <w:p>
      <w:pPr>
        <w:pStyle w:val="FirstParagraph"/>
      </w:pPr>
      <w:r>
        <w:rPr>
          <w:bCs/>
          <w:b/>
        </w:rPr>
        <w:t xml:space="preserve">Key takeaway</w:t>
      </w:r>
      <w:r>
        <w:t xml:space="preserve">: ETFs integrate Bitcoin into legacy financial systems; direct holdings keep you in the native crypto economy.</w:t>
      </w:r>
    </w:p>
    <w:p>
      <w:r>
        <w:pict>
          <v:rect style="width:0;height:1.5pt" o:hralign="center" o:hrstd="t" o:hr="t"/>
        </w:pict>
      </w:r>
    </w:p>
    <w:bookmarkEnd w:id="23"/>
    <w:bookmarkStart w:id="24" w:name="portfolio-allocation-strategies"/>
    <w:p>
      <w:pPr>
        <w:pStyle w:val="Heading2"/>
      </w:pPr>
      <w:r>
        <w:t xml:space="preserve">5. Portfolio Allocation Strategies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For traditional investors</w:t>
      </w:r>
    </w:p>
    <w:p>
      <w:pPr>
        <w:numPr>
          <w:ilvl w:val="1"/>
          <w:numId w:val="1015"/>
        </w:numPr>
        <w:pStyle w:val="Compact"/>
      </w:pPr>
      <w:r>
        <w:t xml:space="preserve">ETFs make allocation seamless. A 1–5% slice of a diversified portfolio is easy to implement via brokerage accounts.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For crypto-native investors</w:t>
      </w:r>
    </w:p>
    <w:p>
      <w:pPr>
        <w:numPr>
          <w:ilvl w:val="1"/>
          <w:numId w:val="1016"/>
        </w:numPr>
        <w:pStyle w:val="Compact"/>
      </w:pPr>
      <w:r>
        <w:t xml:space="preserve">Direct BTC holdings allow participation in DeFi, lending, staking, or collateralized strategies.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Hybrid approach</w:t>
      </w:r>
    </w:p>
    <w:p>
      <w:pPr>
        <w:numPr>
          <w:ilvl w:val="1"/>
          <w:numId w:val="1017"/>
        </w:numPr>
        <w:pStyle w:val="Compact"/>
      </w:pPr>
      <w:r>
        <w:t xml:space="preserve">Some investors hold ETFs in tax-advantaged accounts and direct BTC for sovereignty and DeFi participation.</w:t>
      </w:r>
    </w:p>
    <w:p>
      <w:r>
        <w:pict>
          <v:rect style="width:0;height:1.5pt" o:hralign="center" o:hrstd="t" o:hr="t"/>
        </w:pict>
      </w:r>
    </w:p>
    <w:bookmarkEnd w:id="24"/>
    <w:bookmarkStart w:id="25" w:name="final-thoughts"/>
    <w:p>
      <w:pPr>
        <w:pStyle w:val="Heading2"/>
      </w:pPr>
      <w:r>
        <w:t xml:space="preserve">Final Thoughts</w:t>
      </w:r>
    </w:p>
    <w:p>
      <w:pPr>
        <w:pStyle w:val="FirstParagraph"/>
      </w:pPr>
      <w:r>
        <w:t xml:space="preserve">Bitcoin ETFs open the door for trillions in institutional and retirement capital. But they’re not a perfect substitute for direct ownership. The choice boils down to</w:t>
      </w:r>
      <w:r>
        <w:t xml:space="preserve"> </w:t>
      </w:r>
      <w:r>
        <w:rPr>
          <w:bCs/>
          <w:b/>
        </w:rPr>
        <w:t xml:space="preserve">convenience vs. control</w:t>
      </w:r>
      <w:r>
        <w:t xml:space="preserve">:</w:t>
      </w:r>
    </w:p>
    <w:p>
      <w:pPr>
        <w:numPr>
          <w:ilvl w:val="0"/>
          <w:numId w:val="1018"/>
        </w:numPr>
        <w:pStyle w:val="Compact"/>
      </w:pPr>
      <w:r>
        <w:t xml:space="preserve">ETFs are clean, simple, and tax-efficient, ideal for traditional portfolios.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Direct BTC maximizes sovereignty, utility, and alignment with crypto-native innovation.</w:t>
      </w:r>
    </w:p>
    <w:p>
      <w:pPr>
        <w:pStyle w:val="FirstParagraph"/>
      </w:pPr>
      <w:r>
        <w:t xml:space="preserve">For many investors, the answer isn’t one or the other—it’s both.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2025-08-29T07:57:57Z</dcterms:created>
  <dcterms:modified xsi:type="dcterms:W3CDTF">2025-08-29T07:57:57Z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