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b9963965b075e244600cbed2628b3df94b16a69"/>
    <w:p>
      <w:pPr>
        <w:pStyle w:val="Heading1"/>
      </w:pPr>
      <w:r>
        <w:t xml:space="preserve">The GENIUS Act Explained: How US Stablecoin Regulation Changes Everything</w:t>
      </w:r>
    </w:p>
    <w:p>
      <w:pPr>
        <w:pStyle w:val="FirstParagraph"/>
      </w:pPr>
      <w:r>
        <w:t xml:space="preserve">The tokenization of money is no longer a side experiment—it’s becoming mainstream. In 2025, the U.S. passed the</w:t>
      </w:r>
      <w:r>
        <w:t xml:space="preserve"> </w:t>
      </w:r>
      <w:r>
        <w:rPr>
          <w:bCs/>
          <w:b/>
        </w:rPr>
        <w:t xml:space="preserve">GENIUS Act</w:t>
      </w:r>
      <w:r>
        <w:t xml:space="preserve"> </w:t>
      </w:r>
      <w:r>
        <w:t xml:space="preserve">(Guaranteed Electronic Nationally Issued and Uniform Stablecoin Act), which for the first time sets</w:t>
      </w:r>
      <w:r>
        <w:t xml:space="preserve"> </w:t>
      </w:r>
      <w:r>
        <w:rPr>
          <w:bCs/>
          <w:b/>
        </w:rPr>
        <w:t xml:space="preserve">federal guardrails</w:t>
      </w:r>
      <w:r>
        <w:t xml:space="preserve"> </w:t>
      </w:r>
      <w:r>
        <w:t xml:space="preserve">for stablecoin issuance.</w:t>
      </w:r>
    </w:p>
    <w:p>
      <w:pPr>
        <w:pStyle w:val="BodyText"/>
      </w:pPr>
      <w:r>
        <w:t xml:space="preserve">For investors, this law doesn’t just change the fine print. It</w:t>
      </w:r>
      <w:r>
        <w:t xml:space="preserve"> </w:t>
      </w:r>
      <w:r>
        <w:rPr>
          <w:bCs/>
          <w:b/>
        </w:rPr>
        <w:t xml:space="preserve">redefines what stablecoins are</w:t>
      </w:r>
      <w:r>
        <w:t xml:space="preserve">, how they can be used, and how portfolios should be structured around them.</w:t>
      </w:r>
    </w:p>
    <w:p>
      <w:r>
        <w:pict>
          <v:rect style="width:0;height:1.5pt" o:hralign="center" o:hrstd="t" o:hr="t"/>
        </w:pict>
      </w:r>
    </w:p>
    <w:bookmarkStart w:id="20" w:name="what-the-genius-act-actually-requires"/>
    <w:p>
      <w:pPr>
        <w:pStyle w:val="Heading2"/>
      </w:pPr>
      <w:r>
        <w:t xml:space="preserve">1. What the GENIUS Act actually requires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1:1 Reserve Requirements</w:t>
      </w:r>
      <w:r>
        <w:t xml:space="preserve"> </w:t>
      </w:r>
      <w:r>
        <w:t xml:space="preserve">Every U.S. stablecoin must be backed</w:t>
      </w:r>
      <w:r>
        <w:t xml:space="preserve"> </w:t>
      </w:r>
      <w:r>
        <w:rPr>
          <w:bCs/>
          <w:b/>
        </w:rPr>
        <w:t xml:space="preserve">fully by cash or short-term Treasuries</w:t>
      </w:r>
      <w:r>
        <w:t xml:space="preserve">. No commercial paper, no rehypothecation.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Audit and Disclosure Mandates</w:t>
      </w:r>
      <w:r>
        <w:t xml:space="preserve"> </w:t>
      </w:r>
      <w:r>
        <w:t xml:space="preserve">Monthly public disclosures and independent audits are now mandatory.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Issuer Eligibility</w:t>
      </w:r>
      <w:r>
        <w:t xml:space="preserve"> </w:t>
      </w:r>
      <w:r>
        <w:t xml:space="preserve">Banks and approved non-bank institutions can issue stablecoins, but must comply with AML/KYC and custody standards.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Ban on Paying Interest</w:t>
      </w:r>
      <w:r>
        <w:t xml:space="preserve"> </w:t>
      </w:r>
      <w:r>
        <w:t xml:space="preserve">Issuers can no longer offer</w:t>
      </w:r>
      <w:r>
        <w:t xml:space="preserve"> </w:t>
      </w:r>
      <w:r>
        <w:t xml:space="preserve">“</w:t>
      </w:r>
      <w:r>
        <w:t xml:space="preserve">interest-bearing</w:t>
      </w:r>
      <w:r>
        <w:t xml:space="preserve">”</w:t>
      </w:r>
      <w:r>
        <w:t xml:space="preserve"> </w:t>
      </w:r>
      <w:r>
        <w:t xml:space="preserve">stablecoin accounts. Yields must come from separate financial products (e.g., tokenized T-bill funds).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Foreign Issuer Restrictions</w:t>
      </w:r>
      <w:r>
        <w:t xml:space="preserve"> </w:t>
      </w:r>
      <w:r>
        <w:t xml:space="preserve">Offshore stablecoin providers must pass a Treasury</w:t>
      </w:r>
      <w:r>
        <w:t xml:space="preserve"> </w:t>
      </w:r>
      <w:r>
        <w:t xml:space="preserve">“</w:t>
      </w:r>
      <w:r>
        <w:t xml:space="preserve">comparability test</w:t>
      </w:r>
      <w:r>
        <w:t xml:space="preserve">”</w:t>
      </w:r>
      <w:r>
        <w:t xml:space="preserve"> </w:t>
      </w:r>
      <w:r>
        <w:t xml:space="preserve">to legally serve U.S. customers.</w:t>
      </w:r>
    </w:p>
    <w:p>
      <w:r>
        <w:pict>
          <v:rect style="width:0;height:1.5pt" o:hralign="center" o:hrstd="t" o:hr="t"/>
        </w:pict>
      </w:r>
    </w:p>
    <w:bookmarkEnd w:id="20"/>
    <w:bookmarkStart w:id="21" w:name="X3e6414df64d901459f0ddce0c066a6fa38b068c"/>
    <w:p>
      <w:pPr>
        <w:pStyle w:val="Heading2"/>
      </w:pPr>
      <w:r>
        <w:t xml:space="preserve">2. Impact on Stablecoin Yields and Accessibility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Yield Compression</w:t>
      </w:r>
      <w:r>
        <w:t xml:space="preserve"> </w:t>
      </w:r>
      <w:r>
        <w:t xml:space="preserve">Direct holding of stablecoins is now yield-free. The days of</w:t>
      </w:r>
      <w:r>
        <w:t xml:space="preserve"> </w:t>
      </w:r>
      <w:r>
        <w:t xml:space="preserve">“</w:t>
      </w:r>
      <w:r>
        <w:t xml:space="preserve">6–8% APY</w:t>
      </w:r>
      <w:r>
        <w:t xml:space="preserve">”</w:t>
      </w:r>
      <w:r>
        <w:t xml:space="preserve"> </w:t>
      </w:r>
      <w:r>
        <w:t xml:space="preserve">from centralized platforms are gone.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Migration to Tokenized Funds</w:t>
      </w:r>
      <w:r>
        <w:t xml:space="preserve"> </w:t>
      </w:r>
      <w:r>
        <w:t xml:space="preserve">Yield has shifted to tokenized money-market funds and on-chain T-bill ETFs, many of which are now compliant with U.S. rules.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Exchange Access</w:t>
      </w:r>
      <w:r>
        <w:t xml:space="preserve"> </w:t>
      </w:r>
      <w:r>
        <w:t xml:space="preserve">Only GENIUS-compliant coins (like restructured USDC, Pax Dollar) are available on U.S. exchanges. Offshore coins face delistings.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Institutional Adoption</w:t>
      </w:r>
      <w:r>
        <w:t xml:space="preserve"> </w:t>
      </w:r>
      <w:r>
        <w:t xml:space="preserve">Corporate treasuries, pensions, and endowments are now comfortable using stablecoins as working capital, given regulatory clarity.</w:t>
      </w:r>
    </w:p>
    <w:p>
      <w:r>
        <w:pict>
          <v:rect style="width:0;height:1.5pt" o:hralign="center" o:hrstd="t" o:hr="t"/>
        </w:pict>
      </w:r>
    </w:p>
    <w:bookmarkEnd w:id="21"/>
    <w:bookmarkStart w:id="22" w:name="how-it-affects-international-investors"/>
    <w:p>
      <w:pPr>
        <w:pStyle w:val="Heading2"/>
      </w:pPr>
      <w:r>
        <w:t xml:space="preserve">3. How It Affects International Investors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Liquidity Fragmentation</w:t>
      </w:r>
      <w:r>
        <w:t xml:space="preserve"> </w:t>
      </w:r>
      <w:r>
        <w:t xml:space="preserve">GENIUS-compliant coins dominate U.S. markets, while offshore alternatives may retain niches in Asia and LATAM.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Premiums and Discounts</w:t>
      </w:r>
      <w:r>
        <w:t xml:space="preserve"> </w:t>
      </w:r>
      <w:r>
        <w:t xml:space="preserve">Compliant coins trade at par or premium; non-compliant coins often at discount due to redemption risks.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Regulatory Arbitrage</w:t>
      </w:r>
      <w:r>
        <w:t xml:space="preserve"> </w:t>
      </w:r>
      <w:r>
        <w:t xml:space="preserve">Offshore investors may still capture higher yields via non-U.S. stablecoins, though at liquidity and counterparty risk.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Global DeFi Protocol Adjustments</w:t>
      </w:r>
      <w:r>
        <w:t xml:space="preserve"> </w:t>
      </w:r>
      <w:r>
        <w:t xml:space="preserve">To retain U.S. access, most DeFi apps are pivoting to whitelisting only GENIUS-compliant stablecoins.</w:t>
      </w:r>
    </w:p>
    <w:p>
      <w:r>
        <w:pict>
          <v:rect style="width:0;height:1.5pt" o:hralign="center" o:hrstd="t" o:hr="t"/>
        </w:pict>
      </w:r>
    </w:p>
    <w:bookmarkEnd w:id="22"/>
    <w:bookmarkStart w:id="23" w:name="moolah-capitals-compliance-approach"/>
    <w:p>
      <w:pPr>
        <w:pStyle w:val="Heading2"/>
      </w:pPr>
      <w:r>
        <w:t xml:space="preserve">4. Moolah Capital’s Compliance Approach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Reserves</w:t>
      </w:r>
      <w:r>
        <w:t xml:space="preserve"> </w:t>
      </w:r>
      <w:r>
        <w:t xml:space="preserve">fully held in short-duration Treasuries with daily reconciliation.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Independent Audits</w:t>
      </w:r>
      <w:r>
        <w:t xml:space="preserve"> </w:t>
      </w:r>
      <w:r>
        <w:t xml:space="preserve">published monthly.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User Segregation</w:t>
      </w:r>
      <w:r>
        <w:t xml:space="preserve">: client reserves held separately from corporate funds.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Yield Products</w:t>
      </w:r>
      <w:r>
        <w:t xml:space="preserve"> </w:t>
      </w:r>
      <w:r>
        <w:t xml:space="preserve">restructured as tokenized Treasury wrappers.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Withdrawal Assurances</w:t>
      </w:r>
      <w:r>
        <w:t xml:space="preserve">: insured custodians integrated for emergency redemption.</w:t>
      </w:r>
    </w:p>
    <w:p>
      <w:r>
        <w:pict>
          <v:rect style="width:0;height:1.5pt" o:hralign="center" o:hrstd="t" o:hr="t"/>
        </w:pict>
      </w:r>
    </w:p>
    <w:bookmarkEnd w:id="23"/>
    <w:bookmarkStart w:id="24" w:name="investment-strategy-adjustments-needed"/>
    <w:p>
      <w:pPr>
        <w:pStyle w:val="Heading2"/>
      </w:pPr>
      <w:r>
        <w:t xml:space="preserve">5. Investment Strategy Adjustments Needed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Treat Stablecoins as Cash Equivalents</w:t>
      </w:r>
      <w:r>
        <w:t xml:space="preserve"> </w:t>
      </w:r>
      <w:r>
        <w:t xml:space="preserve">They are now liquidity rails, not yield instruments.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Hunt Yield via Tokenized Funds</w:t>
      </w:r>
      <w:r>
        <w:t xml:space="preserve"> </w:t>
      </w:r>
      <w:r>
        <w:t xml:space="preserve">Investors seeking income must pivot to regulated wrappers like tokenized T-bill ETFs.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Diversify Across Jurisdictions</w:t>
      </w:r>
      <w:r>
        <w:t xml:space="preserve"> </w:t>
      </w:r>
      <w:r>
        <w:t xml:space="preserve">Hold GENIUS-compliant USD coins plus euro- and Asia-based stablecoins for flexibility.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Manage Counterparty Risk</w:t>
      </w:r>
      <w:r>
        <w:t xml:space="preserve"> </w:t>
      </w:r>
      <w:r>
        <w:t xml:space="preserve">Avoid opaque issuers even if yields are higher.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Integrate With DeFi Carefully</w:t>
      </w:r>
      <w:r>
        <w:t xml:space="preserve"> </w:t>
      </w:r>
      <w:r>
        <w:t xml:space="preserve">Use DeFi protocols that explicitly list GENIUS-compliant assets.</w:t>
      </w:r>
    </w:p>
    <w:p>
      <w:r>
        <w:pict>
          <v:rect style="width:0;height:1.5pt" o:hralign="center" o:hrstd="t" o:hr="t"/>
        </w:pict>
      </w:r>
    </w:p>
    <w:bookmarkEnd w:id="24"/>
    <w:bookmarkStart w:id="25" w:name="final-thoughts"/>
    <w:p>
      <w:pPr>
        <w:pStyle w:val="Heading2"/>
      </w:pPr>
      <w:r>
        <w:t xml:space="preserve">Final Thoughts</w:t>
      </w:r>
    </w:p>
    <w:p>
      <w:pPr>
        <w:pStyle w:val="FirstParagraph"/>
      </w:pPr>
      <w:r>
        <w:t xml:space="preserve">The GENIUS Act transforms stablecoins from a gray-market yield tool into a</w:t>
      </w:r>
      <w:r>
        <w:t xml:space="preserve"> </w:t>
      </w:r>
      <w:r>
        <w:rPr>
          <w:bCs/>
          <w:b/>
        </w:rPr>
        <w:t xml:space="preserve">regulated cash equivalent</w:t>
      </w:r>
      <w:r>
        <w:t xml:space="preserve">. The investment game now separates into two tracks: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Liquidity Management</w:t>
      </w:r>
      <w:r>
        <w:t xml:space="preserve">: stablecoins as safe, fast, digital cash.</w:t>
      </w:r>
      <w:r>
        <w:br/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Yield Generation</w:t>
      </w:r>
      <w:r>
        <w:t xml:space="preserve">: tokenized Treasuries, funds, and compliant DeFi overlays.</w:t>
      </w:r>
    </w:p>
    <w:p>
      <w:pPr>
        <w:pStyle w:val="FirstParagraph"/>
      </w:pPr>
      <w:r>
        <w:t xml:space="preserve">For disciplined investors, this is less the end of stablecoin returns and more the beginning of a</w:t>
      </w:r>
      <w:r>
        <w:t xml:space="preserve"> </w:t>
      </w:r>
      <w:r>
        <w:rPr>
          <w:bCs/>
          <w:b/>
        </w:rPr>
        <w:t xml:space="preserve">clearer, safer market structure</w:t>
      </w:r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2025-08-29T07:56:44Z</dcterms:created>
  <dcterms:modified xsi:type="dcterms:W3CDTF">2025-08-29T07:56:44Z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