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7" w:name="Xc7705c225a51fd7744167cb9843de87fa82adb2"/>
    <w:p>
      <w:pPr>
        <w:pStyle w:val="Heading1"/>
      </w:pPr>
      <w:r>
        <w:t xml:space="preserve">Global Crypto Regulation Roadmap: Navigating MiCA, GENIUS, and Beyond</w:t>
      </w:r>
    </w:p>
    <w:p>
      <w:pPr>
        <w:pStyle w:val="FirstParagraph"/>
      </w:pPr>
      <w:r>
        <w:t xml:space="preserve">Crypto is maturing fast, and 2025 is the year global regulation starts to converge. Between the EU’s MiCA, the U.S. GENIUS Act, and Asia’s regional frameworks, investors must navigate a patchwork that is slowly stitching together. Here’s the roadmap.</w:t>
      </w:r>
    </w:p>
    <w:p>
      <w:r>
        <w:pict>
          <v:rect style="width:0;height:1.5pt" o:hralign="center" o:hrstd="t" o:hr="t"/>
        </w:pict>
      </w:r>
    </w:p>
    <w:bookmarkStart w:id="20" w:name="eus-mica-implementation-timeline"/>
    <w:p>
      <w:pPr>
        <w:pStyle w:val="Heading2"/>
      </w:pPr>
      <w:r>
        <w:t xml:space="preserve">1. EU’s MiCA Implementation Timeline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Stablecoin rules (June 2024)</w:t>
      </w:r>
    </w:p>
    <w:p>
      <w:pPr>
        <w:numPr>
          <w:ilvl w:val="1"/>
          <w:numId w:val="1002"/>
        </w:numPr>
        <w:pStyle w:val="Compact"/>
      </w:pPr>
      <w:r>
        <w:t xml:space="preserve">E-money tokens must be fully backed.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No interest on stablecoin holdings.</w:t>
      </w:r>
      <w:r>
        <w:br/>
      </w:r>
    </w:p>
    <w:p>
      <w:pPr>
        <w:numPr>
          <w:ilvl w:val="1"/>
          <w:numId w:val="1002"/>
        </w:numPr>
        <w:pStyle w:val="Compact"/>
      </w:pPr>
      <w:r>
        <w:t xml:space="preserve">Caps on daily transaction volumes for large issuers.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CASP licensing regime (December 2024)</w:t>
      </w:r>
    </w:p>
    <w:p>
      <w:pPr>
        <w:numPr>
          <w:ilvl w:val="1"/>
          <w:numId w:val="1003"/>
        </w:numPr>
        <w:pStyle w:val="Compact"/>
      </w:pPr>
      <w:r>
        <w:t xml:space="preserve">Exchanges, custodians, and wallet providers need Crypto Asset Service Provider licenses.</w:t>
      </w:r>
      <w:r>
        <w:br/>
      </w:r>
    </w:p>
    <w:p>
      <w:pPr>
        <w:numPr>
          <w:ilvl w:val="1"/>
          <w:numId w:val="1003"/>
        </w:numPr>
        <w:pStyle w:val="Compact"/>
      </w:pPr>
      <w:r>
        <w:t xml:space="preserve">Marketing rules and disclosure obligations.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Full authorisation deadline (July 2026)</w:t>
      </w:r>
    </w:p>
    <w:p>
      <w:pPr>
        <w:numPr>
          <w:ilvl w:val="1"/>
          <w:numId w:val="1004"/>
        </w:numPr>
        <w:pStyle w:val="Compact"/>
      </w:pPr>
      <w:r>
        <w:t xml:space="preserve">All EU crypto businesses must be fully licensed.</w:t>
      </w:r>
      <w:r>
        <w:br/>
      </w:r>
    </w:p>
    <w:p>
      <w:pPr>
        <w:numPr>
          <w:ilvl w:val="1"/>
          <w:numId w:val="1004"/>
        </w:numPr>
        <w:pStyle w:val="Compact"/>
      </w:pPr>
      <w:r>
        <w:t xml:space="preserve">Non-compliant firms will be banned from operating.</w:t>
      </w:r>
    </w:p>
    <w:p>
      <w:pPr>
        <w:pStyle w:val="FirstParagraph"/>
      </w:pPr>
      <w:r>
        <w:rPr>
          <w:bCs/>
          <w:b/>
        </w:rPr>
        <w:t xml:space="preserve">Investor impact</w:t>
      </w:r>
      <w:r>
        <w:t xml:space="preserve">: MiCA offers unprecedented clarity in Europe, making the EU one of the most attractive jurisdictions for institutional adoption.</w:t>
      </w:r>
    </w:p>
    <w:p>
      <w:r>
        <w:pict>
          <v:rect style="width:0;height:1.5pt" o:hralign="center" o:hrstd="t" o:hr="t"/>
        </w:pict>
      </w:r>
    </w:p>
    <w:bookmarkEnd w:id="20"/>
    <w:bookmarkStart w:id="21" w:name="uks-evolving-framework"/>
    <w:p>
      <w:pPr>
        <w:pStyle w:val="Heading2"/>
      </w:pPr>
      <w:r>
        <w:t xml:space="preserve">2. UK’s Evolving Framework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Stablecoins</w:t>
      </w:r>
    </w:p>
    <w:p>
      <w:pPr>
        <w:numPr>
          <w:ilvl w:val="1"/>
          <w:numId w:val="1006"/>
        </w:numPr>
        <w:pStyle w:val="Compact"/>
      </w:pPr>
      <w:r>
        <w:t xml:space="preserve">FCA consultation (2025) to bring stablecoins under payments regulation.</w:t>
      </w:r>
      <w:r>
        <w:br/>
      </w:r>
    </w:p>
    <w:p>
      <w:pPr>
        <w:numPr>
          <w:ilvl w:val="1"/>
          <w:numId w:val="1006"/>
        </w:numPr>
        <w:pStyle w:val="Compact"/>
      </w:pPr>
      <w:r>
        <w:t xml:space="preserve">Bank of England exploring systemic oversight.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Crypto custody &amp; trading</w:t>
      </w:r>
    </w:p>
    <w:p>
      <w:pPr>
        <w:numPr>
          <w:ilvl w:val="1"/>
          <w:numId w:val="1007"/>
        </w:numPr>
        <w:pStyle w:val="Compact"/>
      </w:pPr>
      <w:r>
        <w:t xml:space="preserve">Proposed framework will align with securities rules.</w:t>
      </w:r>
      <w:r>
        <w:br/>
      </w:r>
    </w:p>
    <w:p>
      <w:pPr>
        <w:numPr>
          <w:ilvl w:val="1"/>
          <w:numId w:val="1007"/>
        </w:numPr>
        <w:pStyle w:val="Compact"/>
      </w:pPr>
      <w:r>
        <w:t xml:space="preserve">May allow retail access to crypto ETNs (exchange-traded notes).</w:t>
      </w:r>
    </w:p>
    <w:p>
      <w:pPr>
        <w:pStyle w:val="FirstParagraph"/>
      </w:pPr>
      <w:r>
        <w:rPr>
          <w:bCs/>
          <w:b/>
        </w:rPr>
        <w:t xml:space="preserve">Investor impact</w:t>
      </w:r>
      <w:r>
        <w:t xml:space="preserve">: The UK is trying to position itself as a</w:t>
      </w:r>
      <w:r>
        <w:t xml:space="preserve"> </w:t>
      </w:r>
      <w:r>
        <w:t xml:space="preserve">“</w:t>
      </w:r>
      <w:r>
        <w:t xml:space="preserve">crypto hub</w:t>
      </w:r>
      <w:r>
        <w:t xml:space="preserve">”</w:t>
      </w:r>
      <w:r>
        <w:t xml:space="preserve"> </w:t>
      </w:r>
      <w:r>
        <w:t xml:space="preserve">post-Brexit, though it is behind the EU on implementation.</w:t>
      </w:r>
    </w:p>
    <w:p>
      <w:r>
        <w:pict>
          <v:rect style="width:0;height:1.5pt" o:hralign="center" o:hrstd="t" o:hr="t"/>
        </w:pict>
      </w:r>
    </w:p>
    <w:bookmarkEnd w:id="21"/>
    <w:bookmarkStart w:id="22" w:name="u.s.-genius-act"/>
    <w:p>
      <w:pPr>
        <w:pStyle w:val="Heading2"/>
      </w:pPr>
      <w:r>
        <w:t xml:space="preserve">3. U.S. GENIUS Act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Stablecoin framework</w:t>
      </w:r>
    </w:p>
    <w:p>
      <w:pPr>
        <w:numPr>
          <w:ilvl w:val="1"/>
          <w:numId w:val="1009"/>
        </w:numPr>
        <w:pStyle w:val="Compact"/>
      </w:pPr>
      <w:r>
        <w:t xml:space="preserve">Mandates 1:1 reserves in cash or Treasuries.</w:t>
      </w:r>
      <w:r>
        <w:br/>
      </w:r>
    </w:p>
    <w:p>
      <w:pPr>
        <w:numPr>
          <w:ilvl w:val="1"/>
          <w:numId w:val="1009"/>
        </w:numPr>
        <w:pStyle w:val="Compact"/>
      </w:pPr>
      <w:r>
        <w:t xml:space="preserve">Independent audits and public disclosures required.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AML/KYC compliance</w:t>
      </w:r>
    </w:p>
    <w:p>
      <w:pPr>
        <w:numPr>
          <w:ilvl w:val="1"/>
          <w:numId w:val="1010"/>
        </w:numPr>
        <w:pStyle w:val="Compact"/>
      </w:pPr>
      <w:r>
        <w:t xml:space="preserve">All issuers must comply with Bank Secrecy Act requirements.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No yield directly on stablecoins</w:t>
      </w:r>
    </w:p>
    <w:p>
      <w:pPr>
        <w:numPr>
          <w:ilvl w:val="1"/>
          <w:numId w:val="1011"/>
        </w:numPr>
        <w:pStyle w:val="Compact"/>
      </w:pPr>
      <w:r>
        <w:t xml:space="preserve">Investors must use tokenized funds for yield.</w:t>
      </w:r>
    </w:p>
    <w:p>
      <w:pPr>
        <w:pStyle w:val="FirstParagraph"/>
      </w:pPr>
      <w:r>
        <w:rPr>
          <w:bCs/>
          <w:b/>
        </w:rPr>
        <w:t xml:space="preserve">Investor impact</w:t>
      </w:r>
      <w:r>
        <w:t xml:space="preserve">: Stablecoins are now officially</w:t>
      </w:r>
      <w:r>
        <w:t xml:space="preserve"> </w:t>
      </w:r>
      <w:r>
        <w:t xml:space="preserve">“</w:t>
      </w:r>
      <w:r>
        <w:t xml:space="preserve">cash equivalents</w:t>
      </w:r>
      <w:r>
        <w:t xml:space="preserve">”</w:t>
      </w:r>
      <w:r>
        <w:t xml:space="preserve"> </w:t>
      </w:r>
      <w:r>
        <w:t xml:space="preserve">in the U.S. system, paving the way for corporate adoption and deeper liquidity.</w:t>
      </w:r>
    </w:p>
    <w:p>
      <w:r>
        <w:pict>
          <v:rect style="width:0;height:1.5pt" o:hralign="center" o:hrstd="t" o:hr="t"/>
        </w:pict>
      </w:r>
    </w:p>
    <w:bookmarkEnd w:id="22"/>
    <w:bookmarkStart w:id="23" w:name="asian-regulatory-developments"/>
    <w:p>
      <w:pPr>
        <w:pStyle w:val="Heading2"/>
      </w:pPr>
      <w:r>
        <w:t xml:space="preserve">4. Asian Regulatory Developments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Hong Kong</w:t>
      </w:r>
    </w:p>
    <w:p>
      <w:pPr>
        <w:numPr>
          <w:ilvl w:val="1"/>
          <w:numId w:val="1013"/>
        </w:numPr>
        <w:pStyle w:val="Compact"/>
      </w:pPr>
      <w:r>
        <w:t xml:space="preserve">Stablecoin licensing regime went live in August 2025.</w:t>
      </w:r>
      <w:r>
        <w:br/>
      </w:r>
    </w:p>
    <w:p>
      <w:pPr>
        <w:numPr>
          <w:ilvl w:val="1"/>
          <w:numId w:val="1013"/>
        </w:numPr>
        <w:pStyle w:val="Compact"/>
      </w:pPr>
      <w:r>
        <w:t xml:space="preserve">Virtual asset trading licenses already in force.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Singapore</w:t>
      </w:r>
    </w:p>
    <w:p>
      <w:pPr>
        <w:numPr>
          <w:ilvl w:val="1"/>
          <w:numId w:val="1014"/>
        </w:numPr>
        <w:pStyle w:val="Compact"/>
      </w:pPr>
      <w:r>
        <w:t xml:space="preserve">MAS requires stablecoins to be issued only by banks or licensed trust companies.</w:t>
      </w:r>
      <w:r>
        <w:br/>
      </w:r>
    </w:p>
    <w:p>
      <w:pPr>
        <w:numPr>
          <w:ilvl w:val="1"/>
          <w:numId w:val="1014"/>
        </w:numPr>
        <w:pStyle w:val="Compact"/>
      </w:pPr>
      <w:r>
        <w:t xml:space="preserve">Clear custody requirements.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Japan</w:t>
      </w:r>
    </w:p>
    <w:p>
      <w:pPr>
        <w:numPr>
          <w:ilvl w:val="1"/>
          <w:numId w:val="1015"/>
        </w:numPr>
        <w:pStyle w:val="Compact"/>
      </w:pPr>
      <w:r>
        <w:t xml:space="preserve">Stablecoins can only be issued by licensed banks and trusts.</w:t>
      </w:r>
      <w:r>
        <w:br/>
      </w:r>
    </w:p>
    <w:p>
      <w:pPr>
        <w:numPr>
          <w:ilvl w:val="1"/>
          <w:numId w:val="1015"/>
        </w:numPr>
        <w:pStyle w:val="Compact"/>
      </w:pPr>
      <w:r>
        <w:t xml:space="preserve">Investor protections are strong.</w:t>
      </w:r>
    </w:p>
    <w:p>
      <w:pPr>
        <w:numPr>
          <w:ilvl w:val="0"/>
          <w:numId w:val="1012"/>
        </w:numPr>
        <w:pStyle w:val="Compact"/>
      </w:pPr>
      <w:r>
        <w:rPr>
          <w:bCs/>
          <w:b/>
        </w:rPr>
        <w:t xml:space="preserve">South Korea</w:t>
      </w:r>
    </w:p>
    <w:p>
      <w:pPr>
        <w:numPr>
          <w:ilvl w:val="1"/>
          <w:numId w:val="1016"/>
        </w:numPr>
        <w:pStyle w:val="Compact"/>
      </w:pPr>
      <w:r>
        <w:t xml:space="preserve">Virtual Asset User Protection Act live since July 2024.</w:t>
      </w:r>
      <w:r>
        <w:br/>
      </w:r>
    </w:p>
    <w:p>
      <w:pPr>
        <w:numPr>
          <w:ilvl w:val="1"/>
          <w:numId w:val="1016"/>
        </w:numPr>
        <w:pStyle w:val="Compact"/>
      </w:pPr>
      <w:r>
        <w:t xml:space="preserve">Rules around reserve management, insurance, and unfair trading practices.</w:t>
      </w:r>
    </w:p>
    <w:p>
      <w:pPr>
        <w:pStyle w:val="FirstParagraph"/>
      </w:pPr>
      <w:r>
        <w:rPr>
          <w:bCs/>
          <w:b/>
        </w:rPr>
        <w:t xml:space="preserve">Investor impact</w:t>
      </w:r>
      <w:r>
        <w:t xml:space="preserve">: Asia is fragmented, but each country is advancing rapidly. Hong Kong and Singapore are competing to be global crypto hubs.</w:t>
      </w:r>
    </w:p>
    <w:p>
      <w:r>
        <w:pict>
          <v:rect style="width:0;height:1.5pt" o:hralign="center" o:hrstd="t" o:hr="t"/>
        </w:pict>
      </w:r>
    </w:p>
    <w:bookmarkEnd w:id="23"/>
    <w:bookmarkStart w:id="24" w:name="cross-border-compliance-strategies"/>
    <w:p>
      <w:pPr>
        <w:pStyle w:val="Heading2"/>
      </w:pPr>
      <w:r>
        <w:t xml:space="preserve">5. Cross-Border Compliance Strategies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FATF Travel Rule</w:t>
      </w:r>
    </w:p>
    <w:p>
      <w:pPr>
        <w:numPr>
          <w:ilvl w:val="1"/>
          <w:numId w:val="1018"/>
        </w:numPr>
        <w:pStyle w:val="Compact"/>
      </w:pPr>
      <w:r>
        <w:t xml:space="preserve">Requires exchanges and custodians to share sender/receiver information globally.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OECD CARF (Crypto Asset Reporting Framework)</w:t>
      </w:r>
    </w:p>
    <w:p>
      <w:pPr>
        <w:numPr>
          <w:ilvl w:val="1"/>
          <w:numId w:val="1019"/>
        </w:numPr>
        <w:pStyle w:val="Compact"/>
      </w:pPr>
      <w:r>
        <w:t xml:space="preserve">Automatic exchange of information for tax enforcement.</w:t>
      </w:r>
    </w:p>
    <w:p>
      <w:pPr>
        <w:numPr>
          <w:ilvl w:val="0"/>
          <w:numId w:val="1017"/>
        </w:numPr>
        <w:pStyle w:val="Compact"/>
      </w:pPr>
      <w:r>
        <w:rPr>
          <w:bCs/>
          <w:b/>
        </w:rPr>
        <w:t xml:space="preserve">Practical approach for investors</w:t>
      </w:r>
    </w:p>
    <w:p>
      <w:pPr>
        <w:numPr>
          <w:ilvl w:val="1"/>
          <w:numId w:val="1020"/>
        </w:numPr>
        <w:pStyle w:val="Compact"/>
      </w:pPr>
      <w:r>
        <w:t xml:space="preserve">Use regulated venues in your jurisdiction.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Assume cross-border transfers are monitored.</w:t>
      </w:r>
      <w:r>
        <w:br/>
      </w:r>
    </w:p>
    <w:p>
      <w:pPr>
        <w:numPr>
          <w:ilvl w:val="1"/>
          <w:numId w:val="1020"/>
        </w:numPr>
        <w:pStyle w:val="Compact"/>
      </w:pPr>
      <w:r>
        <w:t xml:space="preserve">Expect DeFi protocols to integrate compliance layers.</w:t>
      </w:r>
    </w:p>
    <w:p>
      <w:r>
        <w:pict>
          <v:rect style="width:0;height:1.5pt" o:hralign="center" o:hrstd="t" o:hr="t"/>
        </w:pict>
      </w:r>
    </w:p>
    <w:bookmarkEnd w:id="24"/>
    <w:bookmarkStart w:id="25" w:name="investment-implications-by-jurisdiction"/>
    <w:p>
      <w:pPr>
        <w:pStyle w:val="Heading2"/>
      </w:pPr>
      <w:r>
        <w:t xml:space="preserve">6. Investment Implications by Jurisdiction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U.S.</w:t>
      </w:r>
    </w:p>
    <w:p>
      <w:pPr>
        <w:numPr>
          <w:ilvl w:val="1"/>
          <w:numId w:val="1022"/>
        </w:numPr>
        <w:pStyle w:val="Compact"/>
      </w:pPr>
      <w:r>
        <w:t xml:space="preserve">Stablecoins as cash rails; yield via tokenized Treasuries.</w:t>
      </w:r>
      <w:r>
        <w:br/>
      </w:r>
    </w:p>
    <w:p>
      <w:pPr>
        <w:numPr>
          <w:ilvl w:val="1"/>
          <w:numId w:val="1022"/>
        </w:numPr>
        <w:pStyle w:val="Compact"/>
      </w:pPr>
      <w:r>
        <w:t xml:space="preserve">ETFs open institutional floodgates.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EU</w:t>
      </w:r>
    </w:p>
    <w:p>
      <w:pPr>
        <w:numPr>
          <w:ilvl w:val="1"/>
          <w:numId w:val="1023"/>
        </w:numPr>
        <w:pStyle w:val="Compact"/>
      </w:pPr>
      <w:r>
        <w:t xml:space="preserve">MiCA compliance makes Europe attractive for institutional capital.</w:t>
      </w:r>
      <w:r>
        <w:br/>
      </w:r>
    </w:p>
    <w:p>
      <w:pPr>
        <w:numPr>
          <w:ilvl w:val="1"/>
          <w:numId w:val="1023"/>
        </w:numPr>
        <w:pStyle w:val="Compact"/>
      </w:pPr>
      <w:r>
        <w:t xml:space="preserve">Retail investors gain strong protections.</w:t>
      </w:r>
    </w:p>
    <w:p>
      <w:pPr>
        <w:numPr>
          <w:ilvl w:val="0"/>
          <w:numId w:val="1021"/>
        </w:numPr>
        <w:pStyle w:val="Compact"/>
      </w:pPr>
      <w:r>
        <w:rPr>
          <w:bCs/>
          <w:b/>
        </w:rPr>
        <w:t xml:space="preserve">Asia</w:t>
      </w:r>
    </w:p>
    <w:p>
      <w:pPr>
        <w:numPr>
          <w:ilvl w:val="1"/>
          <w:numId w:val="1024"/>
        </w:numPr>
        <w:pStyle w:val="Compact"/>
      </w:pPr>
      <w:r>
        <w:t xml:space="preserve">Jurisdiction shopping possible (e.g., Singapore vs. Korea).</w:t>
      </w:r>
      <w:r>
        <w:br/>
      </w:r>
    </w:p>
    <w:p>
      <w:pPr>
        <w:numPr>
          <w:ilvl w:val="1"/>
          <w:numId w:val="1024"/>
        </w:numPr>
        <w:pStyle w:val="Compact"/>
      </w:pPr>
      <w:r>
        <w:t xml:space="preserve">But increasing convergence limits arbitrage.</w:t>
      </w:r>
    </w:p>
    <w:p>
      <w:r>
        <w:pict>
          <v:rect style="width:0;height:1.5pt" o:hralign="center" o:hrstd="t" o:hr="t"/>
        </w:pict>
      </w:r>
    </w:p>
    <w:bookmarkEnd w:id="25"/>
    <w:bookmarkStart w:id="26" w:name="final-thoughts"/>
    <w:p>
      <w:pPr>
        <w:pStyle w:val="Heading2"/>
      </w:pPr>
      <w:r>
        <w:t xml:space="preserve">Final Thoughts</w:t>
      </w:r>
    </w:p>
    <w:p>
      <w:pPr>
        <w:pStyle w:val="FirstParagraph"/>
      </w:pPr>
      <w:r>
        <w:t xml:space="preserve">Regulation is no longer a side note in crypto—it’s the main driver of adoption. MiCA, GENIUS, and Asia’s frameworks don’t eliminate opportunity; they</w:t>
      </w:r>
      <w:r>
        <w:t xml:space="preserve"> </w:t>
      </w:r>
      <w:r>
        <w:rPr>
          <w:bCs/>
          <w:b/>
        </w:rPr>
        <w:t xml:space="preserve">reshape it</w:t>
      </w:r>
      <w:r>
        <w:t xml:space="preserve">. For investors, success will depend on knowing which rules apply, which assets are compliant, and how to position portfolios accordingly.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2025-08-29T07:58:53Z</dcterms:created>
  <dcterms:modified xsi:type="dcterms:W3CDTF">2025-08-29T07:58:53Z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