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a237e"/>
          <w:sz w:val="56"/>
          <w:szCs w:val="56"/>
          <w:rtl w:val="0"/>
        </w:rPr>
        <w:t xml:space="preserve">Composer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283593"/>
          <w:sz w:val="32"/>
          <w:szCs w:val="32"/>
          <w:rtl w:val="0"/>
        </w:rPr>
        <w:t xml:space="preserve">Universal Rule Composition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83593" w:space="8" w:sz="6" w:val="single"/>
          <w:bottom w:color="283593" w:space="8" w:sz="6" w:val="single"/>
        </w:pBdr>
        <w:spacing w:after="80" w:lineRule="auto"/>
        <w:jc w:val="center"/>
        <w:rPr/>
      </w:pPr>
      <w:r w:rsidDel="00000000" w:rsidR="00000000" w:rsidRPr="00000000">
        <w:rPr>
          <w:color w:val="37474f"/>
          <w:sz w:val="24"/>
          <w:szCs w:val="24"/>
          <w:rtl w:val="0"/>
        </w:rPr>
        <w:t xml:space="preserve">Working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720"/>
        <w:rPr/>
      </w:pPr>
      <w:r w:rsidDel="00000000" w:rsidR="00000000" w:rsidRPr="00000000">
        <w:rPr>
          <w:color w:val="607d8b"/>
          <w:sz w:val="18"/>
          <w:szCs w:val="18"/>
          <w:rtl w:val="0"/>
        </w:rPr>
        <w:t xml:space="preserve">Kishore Mooli, Mark Spainhower, Brian Acosta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7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1: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What We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Conservative Target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Who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Key Risks (details in Tab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2: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2.1 False positives destroy DLP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2.2 Monolithic rule definitions prevent reuse, testing, and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2.3 Channel fragmentation — the same rule, rewritten per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2.4 No production feedback loop — rules never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2.5 Testing is manual, slow, and scales exponentially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2.6 Authoring requires deep vendor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2.7 Vendor lock-in — the hidden migration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2.8 No versioning, no audit trail, no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2.9 Policy sprawl and rule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2.10 Compliance is bolted on, not built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3: Design Principles &amp;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3.1 Architectural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3.2 Scope Boundaries — What We Own vs What We Consume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3.3 Integration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3.4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3.5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4: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4.1 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4.2 Capability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4.3 Self-Learning Maturity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4.4 ML-Augmented Workflows (Planned)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4.5 Platform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5: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5.1 False Positive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5.2 Authoring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5.3 Testing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5.4 Vendor Portability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5.5 Compliance and Audit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5.6 Risk Reduction and Operational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5.7 Self-Learning and Corpus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6: Proposal — The Technical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9"/>
          <w:szCs w:val="19"/>
          <w:rtl w:val="0"/>
        </w:rPr>
        <w:t xml:space="preserve">6.1 The Canonical Model — Detection → Rule → RuleSet →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6.2 The Entity System — Why Entities, Not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6.3 The Detection Grammar — Conditions, Groups, and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6.4 FP Elimination — The Seven-Layer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6.5 Labels and DSPM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6.6 GenAI-Powered Authoring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6.7 Testing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6.8 Approval Workflow, Versioning, and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6.9 Safe Rollout — A/M/E/D Mode 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6.10 Transpiler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7: Benefits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8: Implementation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8.1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8.2 Rule Definition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8.3 Runtime Engine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8.4 Performance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8.5 Transpiler Implementation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8.6 Vendor Integration Specifics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8.7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Tab 9: Risks and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9.1 Transpilation Fidelity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9.2 Vendor Integration Effort Varies Widely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9.3 Vendor API Instability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9.4 Label Normalization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9.5 WASM/Vectorscan Engine Parity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9.6 Adoption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" w:lineRule="auto"/>
        <w:ind w:left="360" w:firstLine="0"/>
        <w:rPr/>
      </w:pPr>
      <w:r w:rsidDel="00000000" w:rsidR="00000000" w:rsidRPr="00000000">
        <w:rPr>
          <w:color w:val="37474f"/>
          <w:sz w:val="19"/>
          <w:szCs w:val="19"/>
          <w:rtl w:val="0"/>
        </w:rPr>
        <w:t xml:space="preserve">9.7 Corpus Cold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83593" w:space="4" w:sz="8" w:val="single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37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359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74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