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E7C86"/>
          <w:sz w:val="22"/>
        </w:rPr>
        <w:t>EXECUTIVE SUMMARY</w:t>
      </w:r>
    </w:p>
    <w:p>
      <w:r>
        <w:rPr>
          <w:b/>
          <w:i w:val="0"/>
          <w:color w:val="16233B"/>
          <w:sz w:val="42"/>
        </w:rPr>
        <w:t>Elastic Enclave HSM for Enterprise Identity</w:t>
      </w:r>
    </w:p>
    <w:p>
      <w:r>
        <w:rPr>
          <w:b w:val="0"/>
          <w:i/>
          <w:color w:val="3A4256"/>
          <w:sz w:val="23"/>
        </w:rPr>
        <w:t>HSM-grade key custody for EJBCA PKI and SPIRE zero-trust — autoscaled on commodity spot EC2.</w:t>
      </w:r>
    </w:p>
    <w:p>
      <w:pPr>
        <w:pBdr>
          <w:bottom w:val="single" w:sz="14" w:space="1" w:color="0E7C86"/>
        </w:pBdr>
      </w:pPr>
    </w:p>
    <w:p>
      <w:r>
        <w:rPr>
          <w:b w:val="0"/>
          <w:i w:val="0"/>
          <w:color w:val="1A1F2B"/>
          <w:sz w:val="20"/>
        </w:rPr>
        <w:t xml:space="preserve">One signer gateway becomes an elastic, </w:t>
      </w:r>
      <w:r>
        <w:rPr>
          <w:b/>
          <w:i w:val="0"/>
          <w:color w:val="0A5A62"/>
          <w:sz w:val="20"/>
        </w:rPr>
        <w:t>FIPS 140-3 Level 1 HSM</w:t>
      </w:r>
      <w:r>
        <w:rPr>
          <w:b w:val="0"/>
          <w:i w:val="0"/>
          <w:color w:val="1A1F2B"/>
          <w:sz w:val="20"/>
        </w:rPr>
        <w:t xml:space="preserve"> that serves </w:t>
      </w:r>
      <w:r>
        <w:rPr>
          <w:b/>
          <w:i/>
          <w:color w:val="1A1F2B"/>
          <w:sz w:val="20"/>
        </w:rPr>
        <w:t>both</w:t>
      </w:r>
      <w:r>
        <w:rPr>
          <w:b w:val="0"/>
          <w:i w:val="0"/>
          <w:color w:val="1A1F2B"/>
          <w:sz w:val="20"/>
        </w:rPr>
        <w:t xml:space="preserve"> EJBCA certificate issuance </w:t>
      </w:r>
      <w:r>
        <w:rPr>
          <w:b/>
          <w:i/>
          <w:color w:val="1A1F2B"/>
          <w:sz w:val="20"/>
        </w:rPr>
        <w:t>and</w:t>
      </w:r>
      <w:r>
        <w:rPr>
          <w:b w:val="0"/>
          <w:i w:val="0"/>
          <w:color w:val="1A1F2B"/>
          <w:sz w:val="20"/>
        </w:rPr>
        <w:t xml:space="preserve"> SPIRE workload identity from the same fleet. The CA/ICA signing key is released only into an attested Nitro Enclave via KMS and never leaves that boundary — the parent host and operators never see the plaintext key.</w:t>
      </w:r>
    </w:p>
    <w:p>
      <w:r>
        <w:rPr>
          <w:b/>
          <w:color w:val="1B3E86"/>
          <w:sz w:val="24"/>
        </w:rPr>
        <w:t>The problem</w:t>
      </w:r>
    </w:p>
    <w:p>
      <w:pPr>
        <w:pStyle w:val="ListBullet"/>
      </w:pPr>
      <w:r>
        <w:rPr>
          <w:b/>
          <w:color w:val="1A1F2B"/>
          <w:sz w:val="19"/>
        </w:rPr>
        <w:t xml:space="preserve">Cost of HA at scale — </w:t>
      </w:r>
      <w:r>
        <w:rPr>
          <w:color w:val="1A1F2B"/>
          <w:sz w:val="19"/>
        </w:rPr>
        <w:t>An HA CloudHSM cluster bills 24/7 per HSM for peak capacity — expensive whether you sign 10 or 10,000 TPS.</w:t>
      </w:r>
    </w:p>
    <w:p>
      <w:pPr>
        <w:pStyle w:val="ListBullet"/>
      </w:pPr>
      <w:r>
        <w:rPr>
          <w:b/>
          <w:color w:val="1A1F2B"/>
          <w:sz w:val="19"/>
        </w:rPr>
        <w:t xml:space="preserve">No autoscaling — </w:t>
      </w:r>
      <w:r>
        <w:rPr>
          <w:color w:val="1A1F2B"/>
          <w:sz w:val="19"/>
        </w:rPr>
        <w:t>Fixed capacity. You provision for peak and pay for it continuously; there is no scale-to-load.</w:t>
      </w:r>
    </w:p>
    <w:p>
      <w:pPr>
        <w:pStyle w:val="ListBullet"/>
      </w:pPr>
      <w:r>
        <w:rPr>
          <w:b/>
          <w:color w:val="1A1F2B"/>
          <w:sz w:val="19"/>
        </w:rPr>
        <w:t xml:space="preserve">No production post-quantum — </w:t>
      </w:r>
      <w:r>
        <w:rPr>
          <w:color w:val="1A1F2B"/>
          <w:sz w:val="19"/>
        </w:rPr>
        <w:t>No ML-DSA / ML-KEM / hybrid signing in the firmware today.</w:t>
      </w:r>
    </w:p>
    <w:p>
      <w:r>
        <w:rPr>
          <w:b/>
          <w:color w:val="1B3E86"/>
          <w:sz w:val="24"/>
        </w:rPr>
        <w:t>The solution — four pillars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6DAE2"/>
          <w:left w:val="single" w:sz="4" w:color="D6DAE2"/>
          <w:bottom w:val="single" w:sz="4" w:color="D6DAE2"/>
          <w:right w:val="single" w:sz="4" w:color="D6DAE2"/>
          <w:insideH w:val="single" w:sz="4" w:color="D6DAE2"/>
          <w:insideV w:val="single" w:sz="4" w:color="D6DAE2"/>
        </w:tblBorders>
      </w:tblPr>
      <w:tblGrid>
        <w:gridCol w:w="5112"/>
        <w:gridCol w:w="5112"/>
      </w:tblGrid>
      <w:tr>
        <w:tc>
          <w:tcPr>
            <w:tcW w:type="dxa" w:w="3096"/>
            <w:shd w:val="clear" w:fill="0A5A62"/>
          </w:tcPr>
          <w:p>
            <w:r>
              <w:rPr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7128"/>
            <w:shd w:val="clear" w:fill="0A5A62"/>
          </w:tcPr>
          <w:p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3096"/>
          </w:tcPr>
          <w:p>
            <w:r>
              <w:rPr>
                <w:b/>
                <w:color w:val="1A1F2B"/>
                <w:sz w:val="18"/>
              </w:rPr>
              <w:t>Elastic — pay for load</w:t>
            </w:r>
          </w:p>
        </w:tc>
        <w:tc>
          <w:tcPr>
            <w:tcW w:type="dxa" w:w="7128"/>
          </w:tcPr>
          <w:p>
            <w:r>
              <w:rPr>
                <w:color w:val="1A1F2B"/>
                <w:sz w:val="18"/>
              </w:rPr>
              <w:t>No dedicated HSM. Spot EC2 + KMS, autoscale to min when idle. Linear scale-out: add boxes -&gt; +throughput, behind a multi-AZ NLB.</w:t>
            </w:r>
          </w:p>
        </w:tc>
      </w:tr>
      <w:tr>
        <w:tc>
          <w:tcPr>
            <w:tcW w:type="dxa" w:w="3096"/>
            <w:shd w:val="clear" w:fill="FAFBFD"/>
          </w:tcPr>
          <w:p>
            <w:r>
              <w:rPr>
                <w:b/>
                <w:color w:val="1A1F2B"/>
                <w:sz w:val="18"/>
              </w:rPr>
              <w:t>HSM-grade custody (FIPS 140-3 L1)</w:t>
            </w:r>
          </w:p>
        </w:tc>
        <w:tc>
          <w:tcPr>
            <w:tcW w:type="dxa" w:w="7128"/>
            <w:shd w:val="clear" w:fill="FAFBFD"/>
          </w:tcPr>
          <w:p>
            <w:r>
              <w:rPr>
                <w:color w:val="1A1F2B"/>
                <w:sz w:val="18"/>
              </w:rPr>
              <w:t>The CA/ICA key is released only into an attested enclave via KMS and never leaves that boundary. Parent host and operators never see plaintext key.</w:t>
            </w:r>
          </w:p>
        </w:tc>
      </w:tr>
      <w:tr>
        <w:tc>
          <w:tcPr>
            <w:tcW w:type="dxa" w:w="3096"/>
          </w:tcPr>
          <w:p>
            <w:r>
              <w:rPr>
                <w:b/>
                <w:color w:val="1A1F2B"/>
                <w:sz w:val="18"/>
              </w:rPr>
              <w:t>PQC-native</w:t>
            </w:r>
          </w:p>
        </w:tc>
        <w:tc>
          <w:tcPr>
            <w:tcW w:type="dxa" w:w="7128"/>
          </w:tcPr>
          <w:p>
            <w:r>
              <w:rPr>
                <w:color w:val="1A1F2B"/>
                <w:sz w:val="18"/>
              </w:rPr>
              <w:t>ML-DSA-65, ML-KEM-768/1024 and hybrid (P-384+ML-DSA) signing — in software, today, not waiting on HSM firmware.</w:t>
            </w:r>
          </w:p>
        </w:tc>
      </w:tr>
      <w:tr>
        <w:tc>
          <w:tcPr>
            <w:tcW w:type="dxa" w:w="3096"/>
            <w:shd w:val="clear" w:fill="FAFBFD"/>
          </w:tcPr>
          <w:p>
            <w:r>
              <w:rPr>
                <w:b/>
                <w:color w:val="1A1F2B"/>
                <w:sz w:val="18"/>
              </w:rPr>
              <w:t>Enterprise resilience</w:t>
            </w:r>
          </w:p>
        </w:tc>
        <w:tc>
          <w:tcPr>
            <w:tcW w:type="dxa" w:w="7128"/>
            <w:shd w:val="clear" w:fill="FAFBFD"/>
          </w:tcPr>
          <w:p>
            <w:r>
              <w:rPr>
                <w:color w:val="1A1F2B"/>
                <w:sz w:val="18"/>
              </w:rPr>
              <w:t>Enclave-aware health reporting; a wedged enclave -&gt; 503 -&gt; NLB -&gt; ASG auto-replaces. Self-heals under chaos, validated on real spot infra.</w:t>
            </w:r>
          </w:p>
        </w:tc>
      </w:tr>
    </w:tbl>
    <w:p>
      <w:r>
        <w:rPr>
          <w:b/>
          <w:color w:val="1B3E86"/>
          <w:sz w:val="24"/>
        </w:rPr>
        <w:t>Proven throughput (measured on AWS)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6DAE2"/>
          <w:left w:val="single" w:sz="4" w:color="D6DAE2"/>
          <w:bottom w:val="single" w:sz="4" w:color="D6DAE2"/>
          <w:right w:val="single" w:sz="4" w:color="D6DAE2"/>
          <w:insideH w:val="single" w:sz="4" w:color="D6DAE2"/>
          <w:insideV w:val="single" w:sz="4" w:color="D6DAE2"/>
        </w:tblBorders>
      </w:tblPr>
      <w:tblGrid>
        <w:gridCol w:w="3408"/>
        <w:gridCol w:w="3408"/>
        <w:gridCol w:w="3408"/>
      </w:tblGrid>
      <w:tr>
        <w:tc>
          <w:tcPr>
            <w:tcW w:type="dxa" w:w="3384"/>
            <w:shd w:val="clear" w:fill="16233B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600"/>
            <w:shd w:val="clear" w:fill="16233B"/>
          </w:tcPr>
          <w:p>
            <w:r>
              <w:rPr>
                <w:b/>
                <w:color w:val="FFFFFF"/>
                <w:sz w:val="18"/>
              </w:rPr>
              <w:t>Measured throughput</w:t>
            </w:r>
          </w:p>
        </w:tc>
        <w:tc>
          <w:tcPr>
            <w:tcW w:type="dxa" w:w="3240"/>
            <w:shd w:val="clear" w:fill="16233B"/>
          </w:tcPr>
          <w:p>
            <w:r>
              <w:rPr>
                <w:b/>
                <w:color w:val="FFFFFF"/>
                <w:sz w:val="18"/>
              </w:rPr>
              <w:t>Bottleneck</w:t>
            </w:r>
          </w:p>
        </w:tc>
      </w:tr>
      <w:tr>
        <w:tc>
          <w:tcPr>
            <w:tcW w:type="dxa" w:w="3384"/>
          </w:tcPr>
          <w:p>
            <w:r>
              <w:rPr>
                <w:b/>
                <w:color w:val="1A1F2B"/>
                <w:sz w:val="18"/>
              </w:rPr>
              <w:t>Raw signer ceiling (HSM primitive)</w:t>
            </w:r>
          </w:p>
        </w:tc>
        <w:tc>
          <w:tcPr>
            <w:tcW w:type="dxa" w:w="3600"/>
          </w:tcPr>
          <w:p>
            <w:r>
              <w:rPr>
                <w:color w:val="1A1F2B"/>
                <w:sz w:val="18"/>
              </w:rPr>
              <w:t>~8.6k signs/sec/box → ~48k fleet</w:t>
            </w:r>
          </w:p>
        </w:tc>
        <w:tc>
          <w:tcPr>
            <w:tcW w:type="dxa" w:w="3240"/>
          </w:tcPr>
          <w:p>
            <w:r>
              <w:rPr>
                <w:color w:val="1A1F2B"/>
                <w:sz w:val="18"/>
              </w:rPr>
              <w:t>never the bottleneck</w:t>
            </w:r>
          </w:p>
        </w:tc>
      </w:tr>
      <w:tr>
        <w:tc>
          <w:tcPr>
            <w:tcW w:type="dxa" w:w="3384"/>
            <w:shd w:val="clear" w:fill="FAFBFD"/>
          </w:tcPr>
          <w:p>
            <w:r>
              <w:rPr>
                <w:b/>
                <w:color w:val="1A1F2B"/>
                <w:sz w:val="18"/>
              </w:rPr>
              <w:t>EJBCA cert issuance</w:t>
            </w:r>
          </w:p>
        </w:tc>
        <w:tc>
          <w:tcPr>
            <w:tcW w:type="dxa" w:w="3600"/>
            <w:shd w:val="clear" w:fill="FAFBFD"/>
          </w:tcPr>
          <w:p>
            <w:r>
              <w:rPr>
                <w:color w:val="1A1F2B"/>
                <w:sz w:val="18"/>
              </w:rPr>
              <w:t>~895 certs/sec/node</w:t>
            </w:r>
          </w:p>
        </w:tc>
        <w:tc>
          <w:tcPr>
            <w:tcW w:type="dxa" w:w="3240"/>
            <w:shd w:val="clear" w:fill="FAFBFD"/>
          </w:tcPr>
          <w:p>
            <w:r>
              <w:rPr>
                <w:color w:val="1A1F2B"/>
                <w:sz w:val="18"/>
              </w:rPr>
              <w:t>EJBCA-bound, scales w/ nodes</w:t>
            </w:r>
          </w:p>
        </w:tc>
      </w:tr>
      <w:tr>
        <w:tc>
          <w:tcPr>
            <w:tcW w:type="dxa" w:w="3384"/>
          </w:tcPr>
          <w:p>
            <w:r>
              <w:rPr>
                <w:b/>
                <w:color w:val="1A1F2B"/>
                <w:sz w:val="18"/>
              </w:rPr>
              <w:t>SPIRE SVID issuance</w:t>
            </w:r>
          </w:p>
        </w:tc>
        <w:tc>
          <w:tcPr>
            <w:tcW w:type="dxa" w:w="3600"/>
          </w:tcPr>
          <w:p>
            <w:r>
              <w:rPr>
                <w:color w:val="1A1F2B"/>
                <w:sz w:val="18"/>
              </w:rPr>
              <w:t>~236 SVIDs/sec</w:t>
            </w:r>
          </w:p>
        </w:tc>
        <w:tc>
          <w:tcPr>
            <w:tcW w:type="dxa" w:w="3240"/>
          </w:tcPr>
          <w:p>
            <w:r>
              <w:rPr>
                <w:color w:val="1A1F2B"/>
                <w:sz w:val="18"/>
              </w:rPr>
              <w:t>server-bound, scales w/ servers</w:t>
            </w:r>
          </w:p>
        </w:tc>
      </w:tr>
    </w:tbl>
    <w:p>
      <w:r>
        <w:rPr>
          <w:b w:val="0"/>
          <w:i/>
          <w:color w:val="3A4256"/>
          <w:sz w:val="19"/>
        </w:rPr>
        <w:t>The signer carries ~10–36× headroom over both product paths — you scale EJBCA nodes and SPIRE servers, not the signer.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val="clear" w:fill="F4F6FA"/>
            <w:tcBorders>
              <w:left w:val="single" w:sz="24" w:color="6D45C7"/>
            </w:tcBorders>
          </w:tcPr>
          <w:p>
            <w:r>
              <w:rPr>
                <w:b/>
                <w:color w:val="6D45C7"/>
                <w:sz w:val="21"/>
              </w:rPr>
              <w:t>Zero-trust use case — OpenTelemetry agent auth</w:t>
            </w:r>
          </w:p>
          <w:p>
            <w:r>
              <w:rPr>
                <w:color w:val="1A1F2B"/>
                <w:sz w:val="19"/>
              </w:rPr>
              <w:t>At deploy time each instance is tagged app and component; SPIRE's aws_iid node attestor reads those tags from the signed AWS Instance Identity Document and mints a SPIFFE ID whose SAN encodes identity at three levels — host/node, service/component, and agent/workload. Every SVID is signed inside the enclave, so OTel agents authenticate with a cryptographic identity that never leaves FIPS 140-3 L1 custody.</w:t>
            </w:r>
          </w:p>
        </w:tc>
      </w:tr>
    </w:tbl>
    <w:p/>
    <w:p>
      <w:r>
        <w:rPr>
          <w:b/>
          <w:color w:val="1B3E86"/>
          <w:sz w:val="24"/>
        </w:rPr>
        <w:t>FIPS 140-3 posture</w:t>
      </w:r>
    </w:p>
    <w:p>
      <w:r>
        <w:rPr>
          <w:b w:val="0"/>
          <w:i w:val="0"/>
          <w:color w:val="1A1F2B"/>
          <w:sz w:val="20"/>
        </w:rPr>
        <w:t>High-volume leaf and SVID signing runs at Level 1 inside the attested enclave — hardware-isolated, operator-inaccessible memory with cryptographic attestation of the exact image that may hold the key. An optional Level 3 root (KMS or CloudHSM) anchors the trust chain and signs the intermediate: buy L3 assurance once for the root, and scale L1 signing elastically.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Unified elastic enclave HSM — one attested signer behind an autoscaling fleet.</w:t>
      </w:r>
    </w:p>
    <w:p>
      <w:pPr>
        <w:pBdr>
          <w:bottom w:val="single" w:sz="8" w:space="1" w:color="D6DAE2"/>
        </w:pBdr>
      </w:pPr>
    </w:p>
    <w:p>
      <w:r>
        <w:rPr>
          <w:b/>
          <w:i w:val="0"/>
          <w:color w:val="16233B"/>
          <w:sz w:val="21"/>
        </w:rPr>
        <w:t xml:space="preserve">Bottom line: </w:t>
      </w:r>
      <w:r>
        <w:rPr>
          <w:b/>
          <w:i w:val="0"/>
          <w:color w:val="1A1F2B"/>
          <w:sz w:val="21"/>
        </w:rPr>
        <w:t>Adopt the elastic enclave HSM as the unified signing tier for EJBCA and SPIRE — it delivers HSM-grade, PQC-ready key custody at spot-EC2 economics, scales to load instead of to peak, and has been validated end-to-end on real AWS infrastructure.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