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  <w:i w:val="0"/>
          <w:color w:val="0E7C86"/>
          <w:sz w:val="24"/>
        </w:rPr>
        <w:t>PERFORMANCE STUDY</w:t>
      </w:r>
    </w:p>
    <w:p>
      <w:r>
        <w:rPr>
          <w:b/>
          <w:i w:val="0"/>
          <w:color w:val="16233B"/>
          <w:sz w:val="52"/>
        </w:rPr>
        <w:t>EJBCA Load Characteristics with a Lightweight Enclave HSM</w:t>
      </w:r>
    </w:p>
    <w:p>
      <w:pPr>
        <w:pBdr>
          <w:bottom w:val="single" w:sz="18" w:space="1" w:color="0E7C86"/>
        </w:pBdr>
      </w:pPr>
    </w:p>
    <w:p>
      <w:r>
        <w:rPr>
          <w:b w:val="0"/>
          <w:i/>
          <w:color w:val="3A4256"/>
          <w:sz w:val="26"/>
        </w:rPr>
        <w:t>Benchmarking EJBCA's true issuance ceiling without CloudHSM cost, latency, or connection limits</w:t>
      </w:r>
    </w:p>
    <w:p>
      <w:r>
        <w:rPr>
          <w:b w:val="0"/>
          <w:i w:val="0"/>
          <w:color w:val="6B7280"/>
          <w:sz w:val="20"/>
        </w:rPr>
        <w:t>NitroEnclave · elastic enclave signer</w:t>
      </w:r>
    </w:p>
    <w:p>
      <w:r>
        <w:rPr>
          <w:b w:val="0"/>
          <w:i w:val="0"/>
          <w:color w:val="6B7280"/>
          <w:sz w:val="20"/>
        </w:rPr>
        <w:t>Measured on AWS · us-east-1 · 0 errors</w:t>
      </w:r>
    </w:p>
    <w:p>
      <w:pPr>
        <w:pBdr>
          <w:bottom w:val="single" w:sz="6" w:space="3" w:color="0E7C86"/>
        </w:pBdr>
      </w:pPr>
      <w:r>
        <w:rPr>
          <w:b/>
          <w:color w:val="16233B"/>
          <w:sz w:val="30"/>
        </w:rPr>
        <w:t>1   Thesis</w:t>
      </w:r>
    </w:p>
    <w:p>
      <w:r>
        <w:rPr>
          <w:b w:val="0"/>
          <w:i w:val="0"/>
          <w:color w:val="1A1F2B"/>
          <w:sz w:val="21"/>
        </w:rPr>
        <w:t>Use the elastic enclave signer as a lightweight, high-throughput HSM to measure EJBCA's OWN load characteristics — without CloudHSM cost, latency, or connection limits distorting the result.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fill="F4F6FA"/>
            <w:tcBorders>
              <w:left w:val="single" w:sz="24" w:color="0E7C86"/>
            </w:tcBorders>
          </w:tcPr>
          <w:p>
            <w:r>
              <w:rPr>
                <w:b/>
                <w:color w:val="0E7C86"/>
                <w:sz w:val="21"/>
              </w:rPr>
              <w:t>The signer is never the bottleneck</w:t>
            </w:r>
          </w:p>
          <w:p>
            <w:r>
              <w:rPr>
                <w:color w:val="1A1F2B"/>
                <w:sz w:val="19"/>
              </w:rPr>
              <w:t>The enclave signer's raw ceiling (~8.6k signs/sec/box) sits far above EJBCA's issuance rate, so it never throttles the test. Whatever number you measure is EJBCA itself — not the HSM in front of it.</w:t>
            </w:r>
          </w:p>
        </w:tc>
      </w:tr>
    </w:tbl>
    <w:p/>
    <w:p>
      <w:pPr>
        <w:pBdr>
          <w:bottom w:val="single" w:sz="6" w:space="3" w:color="0E7C86"/>
        </w:pBdr>
      </w:pPr>
      <w:r>
        <w:rPr>
          <w:b/>
          <w:color w:val="16233B"/>
          <w:sz w:val="30"/>
        </w:rPr>
        <w:t>2   Why benchmark EJBCA this way</w:t>
      </w:r>
    </w:p>
    <w:p>
      <w:pPr>
        <w:pStyle w:val="ListBullet"/>
      </w:pPr>
      <w:r>
        <w:rPr>
          <w:b/>
          <w:color w:val="1A1F2B"/>
          <w:sz w:val="21"/>
        </w:rPr>
        <w:t xml:space="preserve">Removes the HSM as a variable — </w:t>
      </w:r>
      <w:r>
        <w:rPr>
          <w:color w:val="1A1F2B"/>
          <w:sz w:val="21"/>
        </w:rPr>
        <w:t>The signer's raw ceiling (~8.6k/box) is far above EJBCA's issuance rate, so the HSM never throttles the test — you see EJBCA's real ceiling.</w:t>
      </w:r>
    </w:p>
    <w:p>
      <w:pPr>
        <w:pStyle w:val="ListBullet"/>
      </w:pPr>
      <w:r>
        <w:rPr>
          <w:b/>
          <w:color w:val="1A1F2B"/>
          <w:sz w:val="21"/>
        </w:rPr>
        <w:t xml:space="preserve">No CloudHSM complexity/cost — </w:t>
      </w:r>
      <w:r>
        <w:rPr>
          <w:color w:val="1A1F2B"/>
          <w:sz w:val="21"/>
        </w:rPr>
        <w:t>No cluster to stand up, no per-HSM 24/7 bill, no connection cliff. Spin the enclave signer up on spot EC2, benchmark, tear down.</w:t>
      </w:r>
    </w:p>
    <w:p>
      <w:pPr>
        <w:pStyle w:val="ListBullet"/>
      </w:pPr>
      <w:r>
        <w:rPr>
          <w:b/>
          <w:color w:val="1A1F2B"/>
          <w:sz w:val="21"/>
        </w:rPr>
        <w:t xml:space="preserve">Full cipher coverage incl. PQC — </w:t>
      </w:r>
      <w:r>
        <w:rPr>
          <w:color w:val="1A1F2B"/>
          <w:sz w:val="21"/>
        </w:rPr>
        <w:t>Benchmark RSA/ECDSA and ML-DSA/hybrid profiles that CloudHSM firmware cannot issue at all.</w:t>
      </w:r>
    </w:p>
    <w:p>
      <w:pPr>
        <w:pBdr>
          <w:bottom w:val="single" w:sz="6" w:space="3" w:color="0E7C86"/>
        </w:pBdr>
      </w:pPr>
      <w:r>
        <w:rPr>
          <w:b/>
          <w:color w:val="16233B"/>
          <w:sz w:val="30"/>
        </w:rPr>
        <w:t>3   Method</w:t>
      </w:r>
    </w:p>
    <w:p>
      <w:r>
        <w:rPr>
          <w:b w:val="0"/>
          <w:i w:val="0"/>
          <w:color w:val="1A1F2B"/>
          <w:sz w:val="21"/>
        </w:rPr>
        <w:t>We drove real PKCS#10 enrollments with cmd/enroll-loadtest against a single EJBCA CE node. The NitroEnclaveCA CryptoToken forwards every C_Sign over mTLS to the in-enclave ICA (ECDSA P-384), which signs the digest and returns the signature — EJBCA never sees the private key. Leaf certificates were ecdsa-p256; concurrency was swept across 16 / 32 / 64 clients at 2000 certs per run, with 0 errors on every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2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jbca-se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2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Each enrollment: EJBCA → PKCS#11 .so → gateway → in-enclave sign → issued cert.</w:t>
      </w:r>
    </w:p>
    <w:p>
      <w:pPr>
        <w:pBdr>
          <w:bottom w:val="single" w:sz="6" w:space="3" w:color="0E7C86"/>
        </w:pBdr>
      </w:pPr>
      <w:r>
        <w:rPr>
          <w:b/>
          <w:color w:val="16233B"/>
          <w:sz w:val="30"/>
        </w:rPr>
        <w:t>4   Results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6DAE2"/>
          <w:left w:val="single" w:sz="4" w:color="D6DAE2"/>
          <w:bottom w:val="single" w:sz="4" w:color="D6DAE2"/>
          <w:right w:val="single" w:sz="4" w:color="D6DAE2"/>
          <w:insideH w:val="single" w:sz="4" w:color="D6DAE2"/>
          <w:insideV w:val="single" w:sz="4" w:color="D6DAE2"/>
        </w:tblBorders>
      </w:tblPr>
      <w:tblGrid>
        <w:gridCol w:w="3264"/>
        <w:gridCol w:w="3264"/>
        <w:gridCol w:w="3264"/>
      </w:tblGrid>
      <w:tr>
        <w:trPr>
          <w:cantSplit/>
        </w:trPr>
        <w:tc>
          <w:tcPr>
            <w:tcW w:type="dxa" w:w="2304"/>
            <w:shd w:val="clear" w:fill="16233B"/>
          </w:tcPr>
          <w:p>
            <w:r>
              <w:rPr>
                <w:b/>
                <w:color w:val="FFFFFF"/>
                <w:sz w:val="18"/>
              </w:rPr>
              <w:t>Concurrency</w:t>
            </w:r>
          </w:p>
        </w:tc>
        <w:tc>
          <w:tcPr>
            <w:tcW w:type="dxa" w:w="2304"/>
            <w:shd w:val="clear" w:fill="16233B"/>
          </w:tcPr>
          <w:p>
            <w:r>
              <w:rPr>
                <w:b/>
                <w:color w:val="FFFFFF"/>
                <w:sz w:val="18"/>
              </w:rPr>
              <w:t>certs/sec</w:t>
            </w:r>
          </w:p>
        </w:tc>
        <w:tc>
          <w:tcPr>
            <w:tcW w:type="dxa" w:w="5616"/>
            <w:shd w:val="clear" w:fill="16233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b/>
                <w:color w:val="1A1F2B"/>
                <w:sz w:val="18"/>
              </w:rPr>
              <w:t>16</w:t>
            </w:r>
          </w:p>
        </w:tc>
        <w:tc>
          <w:tcPr>
            <w:tcW w:type="dxa" w:w="2304"/>
          </w:tcPr>
          <w:p>
            <w:r>
              <w:rPr>
                <w:color w:val="1A1F2B"/>
                <w:sz w:val="18"/>
              </w:rPr>
              <w:t>767</w:t>
            </w:r>
          </w:p>
        </w:tc>
        <w:tc>
          <w:tcPr>
            <w:tcW w:type="dxa" w:w="5616"/>
          </w:tcPr>
          <w:p>
            <w:r>
              <w:rPr>
                <w:color w:val="1A1F2B"/>
                <w:sz w:val="18"/>
              </w:rPr>
              <w:t>warming</w:t>
            </w:r>
          </w:p>
        </w:tc>
      </w:tr>
      <w:tr>
        <w:trPr>
          <w:cantSplit/>
        </w:trPr>
        <w:tc>
          <w:tcPr>
            <w:tcW w:type="dxa" w:w="2304"/>
            <w:shd w:val="clear" w:fill="FAFBFD"/>
          </w:tcPr>
          <w:p>
            <w:r>
              <w:rPr>
                <w:b/>
                <w:color w:val="1A1F2B"/>
                <w:sz w:val="18"/>
              </w:rPr>
              <w:t>32</w:t>
            </w:r>
          </w:p>
        </w:tc>
        <w:tc>
          <w:tcPr>
            <w:tcW w:type="dxa" w:w="2304"/>
            <w:shd w:val="clear" w:fill="FAFBFD"/>
          </w:tcPr>
          <w:p>
            <w:r>
              <w:rPr>
                <w:color w:val="1A1F2B"/>
                <w:sz w:val="18"/>
              </w:rPr>
              <w:t>895</w:t>
            </w:r>
          </w:p>
        </w:tc>
        <w:tc>
          <w:tcPr>
            <w:tcW w:type="dxa" w:w="5616"/>
            <w:shd w:val="clear" w:fill="FAFBFD"/>
          </w:tcPr>
          <w:p>
            <w:r>
              <w:rPr>
                <w:color w:val="1A1F2B"/>
                <w:sz w:val="18"/>
              </w:rPr>
              <w:t>peak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b/>
                <w:color w:val="1A1F2B"/>
                <w:sz w:val="18"/>
              </w:rPr>
              <w:t>64</w:t>
            </w:r>
          </w:p>
        </w:tc>
        <w:tc>
          <w:tcPr>
            <w:tcW w:type="dxa" w:w="2304"/>
          </w:tcPr>
          <w:p>
            <w:r>
              <w:rPr>
                <w:color w:val="1A1F2B"/>
                <w:sz w:val="18"/>
              </w:rPr>
              <w:t>805</w:t>
            </w:r>
          </w:p>
        </w:tc>
        <w:tc>
          <w:tcPr>
            <w:tcW w:type="dxa" w:w="5616"/>
          </w:tcPr>
          <w:p>
            <w:r>
              <w:rPr>
                <w:color w:val="1A1F2B"/>
                <w:sz w:val="18"/>
              </w:rPr>
              <w:t>saturated — p99 ~2× conc32</w:t>
            </w:r>
          </w:p>
        </w:tc>
      </w:tr>
    </w:tbl>
    <w:p>
      <w:r>
        <w:rPr>
          <w:b w:val="0"/>
          <w:i w:val="0"/>
          <w:color w:val="1A1F2B"/>
          <w:sz w:val="21"/>
        </w:rPr>
        <w:t>EJBCA peaked at ~895 certs/sec and then regressed past concurrency 32 (conc 64 fell to 805 with roughly double the p99 latency). The bottleneck is EJBCA's own parse / assemble / DB-write pipeline — not the signer behind it.</w:t>
      </w:r>
    </w:p>
    <w:p>
      <w:pPr>
        <w:pBdr>
          <w:bottom w:val="single" w:sz="6" w:space="3" w:color="0E7C86"/>
        </w:pBdr>
      </w:pPr>
      <w:r>
        <w:rPr>
          <w:b/>
          <w:color w:val="16233B"/>
          <w:sz w:val="30"/>
        </w:rPr>
        <w:t>5   Interpretation — the signer is not the limit</w:t>
      </w:r>
    </w:p>
    <w:p>
      <w:r>
        <w:rPr>
          <w:b w:val="0"/>
          <w:i w:val="0"/>
          <w:color w:val="1A1F2B"/>
          <w:sz w:val="21"/>
        </w:rPr>
        <w:t xml:space="preserve">The raw enclave sign ceiling is </w:t>
      </w:r>
      <w:r>
        <w:rPr>
          <w:b/>
          <w:i w:val="0"/>
          <w:color w:val="0A5A62"/>
          <w:sz w:val="21"/>
        </w:rPr>
        <w:t>~8,600 signs/sec on a single box</w:t>
      </w:r>
      <w:r>
        <w:rPr>
          <w:b w:val="0"/>
          <w:i w:val="0"/>
          <w:color w:val="1A1F2B"/>
          <w:sz w:val="21"/>
        </w:rPr>
        <w:t xml:space="preserve"> (ecdsa-p384) — about </w:t>
      </w:r>
      <w:r>
        <w:rPr>
          <w:b/>
          <w:i w:val="0"/>
          <w:color w:val="1A1F2B"/>
          <w:sz w:val="21"/>
        </w:rPr>
        <w:t>10× the EJBCA issuance rate</w:t>
      </w:r>
      <w:r>
        <w:rPr>
          <w:b w:val="0"/>
          <w:i w:val="0"/>
          <w:color w:val="1A1F2B"/>
          <w:sz w:val="21"/>
        </w:rPr>
        <w:t>. EJBCA saturates first, by a wide margin, so the measured ~895 certs/sec is a clean read on EJBCA's own capacity with the HSM removed as a variable.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fill="F4F6FA"/>
            <w:tcBorders>
              <w:left w:val="single" w:sz="24" w:color="1E7A46"/>
            </w:tcBorders>
          </w:tcPr>
          <w:p>
            <w:r>
              <w:rPr>
                <w:b/>
                <w:color w:val="1E7A46"/>
                <w:sz w:val="21"/>
              </w:rPr>
              <w:t>Exactly the number you want</w:t>
            </w:r>
          </w:p>
          <w:p>
            <w:r>
              <w:rPr>
                <w:color w:val="1A1F2B"/>
                <w:sz w:val="19"/>
              </w:rPr>
              <w:t>This is exactly the number you want when sizing EJBCA — its own ceiling, with the HSM removed as a variable.</w:t>
            </w:r>
          </w:p>
        </w:tc>
      </w:tr>
    </w:tbl>
    <w:p/>
    <w:p>
      <w:pPr>
        <w:pBdr>
          <w:bottom w:val="single" w:sz="6" w:space="3" w:color="0E7C86"/>
        </w:pBdr>
      </w:pPr>
      <w:r>
        <w:rPr>
          <w:b/>
          <w:color w:val="16233B"/>
          <w:sz w:val="30"/>
        </w:rPr>
        <w:t>6   Bonus — full cipher coverage incl. PQC</w:t>
      </w:r>
    </w:p>
    <w:p>
      <w:r>
        <w:rPr>
          <w:b w:val="0"/>
          <w:i w:val="0"/>
          <w:color w:val="1A1F2B"/>
          <w:sz w:val="21"/>
        </w:rPr>
        <w:t>The same signer benchmarks RSA and ECDSA alongside ML-DSA / hybrid profiles that CloudHSM firmware cannot issue at all — so a single elastic signer covers both classical and post-quantum sizing on one test rig.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6DAE2"/>
          <w:left w:val="single" w:sz="4" w:color="D6DAE2"/>
          <w:bottom w:val="single" w:sz="4" w:color="D6DAE2"/>
          <w:right w:val="single" w:sz="4" w:color="D6DAE2"/>
          <w:insideH w:val="single" w:sz="4" w:color="D6DAE2"/>
          <w:insideV w:val="single" w:sz="4" w:color="D6DAE2"/>
        </w:tblBorders>
      </w:tblPr>
      <w:tblGrid>
        <w:gridCol w:w="4896"/>
        <w:gridCol w:w="4896"/>
      </w:tblGrid>
      <w:tr>
        <w:trPr>
          <w:cantSplit/>
        </w:trPr>
        <w:tc>
          <w:tcPr>
            <w:tcW w:type="dxa" w:w="4608"/>
            <w:shd w:val="clear" w:fill="0A5A62"/>
          </w:tcPr>
          <w:p>
            <w:r>
              <w:rPr>
                <w:b/>
                <w:color w:val="FFFFFF"/>
                <w:sz w:val="18"/>
              </w:rPr>
              <w:t>Cipher</w:t>
            </w:r>
          </w:p>
        </w:tc>
        <w:tc>
          <w:tcPr>
            <w:tcW w:type="dxa" w:w="4320"/>
            <w:shd w:val="clear" w:fill="0A5A62"/>
          </w:tcPr>
          <w:p>
            <w:r>
              <w:rPr>
                <w:b/>
                <w:color w:val="FFFFFF"/>
                <w:sz w:val="18"/>
              </w:rPr>
              <w:t>signs/sec (enclave ceiling)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b/>
                <w:color w:val="1A1F2B"/>
                <w:sz w:val="18"/>
              </w:rPr>
              <w:t>ECDSA P-384</w:t>
            </w:r>
          </w:p>
        </w:tc>
        <w:tc>
          <w:tcPr>
            <w:tcW w:type="dxa" w:w="4320"/>
          </w:tcPr>
          <w:p>
            <w:r>
              <w:rPr>
                <w:color w:val="1A1F2B"/>
                <w:sz w:val="18"/>
              </w:rPr>
              <w:t>7530</w:t>
            </w:r>
          </w:p>
        </w:tc>
      </w:tr>
      <w:tr>
        <w:trPr>
          <w:cantSplit/>
        </w:trPr>
        <w:tc>
          <w:tcPr>
            <w:tcW w:type="dxa" w:w="4608"/>
            <w:shd w:val="clear" w:fill="FAFBFD"/>
          </w:tcPr>
          <w:p>
            <w:r>
              <w:rPr>
                <w:b/>
                <w:color w:val="1A1F2B"/>
                <w:sz w:val="18"/>
              </w:rPr>
              <w:t>ML-DSA-65 (PQC)</w:t>
            </w:r>
          </w:p>
        </w:tc>
        <w:tc>
          <w:tcPr>
            <w:tcW w:type="dxa" w:w="4320"/>
            <w:shd w:val="clear" w:fill="FAFBFD"/>
          </w:tcPr>
          <w:p>
            <w:r>
              <w:rPr>
                <w:color w:val="1A1F2B"/>
                <w:sz w:val="18"/>
              </w:rPr>
              <w:t>6261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b/>
                <w:color w:val="1A1F2B"/>
                <w:sz w:val="18"/>
              </w:rPr>
              <w:t>ML-KEM-1024</w:t>
            </w:r>
          </w:p>
        </w:tc>
        <w:tc>
          <w:tcPr>
            <w:tcW w:type="dxa" w:w="4320"/>
          </w:tcPr>
          <w:p>
            <w:r>
              <w:rPr>
                <w:color w:val="1A1F2B"/>
                <w:sz w:val="18"/>
              </w:rPr>
              <w:t>8478</w:t>
            </w:r>
          </w:p>
        </w:tc>
      </w:tr>
      <w:tr>
        <w:trPr>
          <w:cantSplit/>
        </w:trPr>
        <w:tc>
          <w:tcPr>
            <w:tcW w:type="dxa" w:w="4608"/>
            <w:shd w:val="clear" w:fill="FAFBFD"/>
          </w:tcPr>
          <w:p>
            <w:r>
              <w:rPr>
                <w:b/>
                <w:color w:val="1A1F2B"/>
                <w:sz w:val="18"/>
              </w:rPr>
              <w:t>RSA-4096</w:t>
            </w:r>
          </w:p>
        </w:tc>
        <w:tc>
          <w:tcPr>
            <w:tcW w:type="dxa" w:w="4320"/>
            <w:shd w:val="clear" w:fill="FAFBFD"/>
          </w:tcPr>
          <w:p>
            <w:r>
              <w:rPr>
                <w:color w:val="1A1F2B"/>
                <w:sz w:val="18"/>
              </w:rPr>
              <w:t>497</w:t>
            </w:r>
          </w:p>
        </w:tc>
      </w:tr>
    </w:tbl>
    <w:p>
      <w:pPr>
        <w:pBdr>
          <w:bottom w:val="single" w:sz="6" w:space="3" w:color="0E7C86"/>
        </w:pBdr>
      </w:pPr>
      <w:r>
        <w:rPr>
          <w:b/>
          <w:color w:val="16233B"/>
          <w:sz w:val="30"/>
        </w:rPr>
        <w:t>7   Takeaways for an EJBCA deployment</w:t>
      </w:r>
    </w:p>
    <w:p>
      <w:pPr>
        <w:pStyle w:val="ListBullet"/>
      </w:pPr>
      <w:r>
        <w:rPr>
          <w:b/>
          <w:color w:val="1A1F2B"/>
          <w:sz w:val="21"/>
        </w:rPr>
        <w:t xml:space="preserve">Plan for EJBCA's ceiling, not the HSM's — </w:t>
      </w:r>
      <w:r>
        <w:rPr>
          <w:color w:val="1A1F2B"/>
          <w:sz w:val="21"/>
        </w:rPr>
        <w:t>size each EJBCA node to ~800–900 certs/sec and scale horizontally — add nodes, not a bigger HSM.</w:t>
      </w:r>
    </w:p>
    <w:p>
      <w:pPr>
        <w:pStyle w:val="ListBullet"/>
      </w:pPr>
      <w:r>
        <w:rPr>
          <w:b/>
          <w:color w:val="1A1F2B"/>
          <w:sz w:val="21"/>
        </w:rPr>
        <w:t xml:space="preserve">The enclave HSM adds capability, not drag — </w:t>
      </w:r>
      <w:r>
        <w:rPr>
          <w:color w:val="1A1F2B"/>
          <w:sz w:val="21"/>
        </w:rPr>
        <w:t>custody (FIPS 140-3 L1, key never leaves the enclave), native PQC, and spot-EC2 elasticity — without becoming the bottleneck.</w:t>
      </w:r>
    </w:p>
    <w:p>
      <w:pPr>
        <w:pStyle w:val="ListBullet"/>
      </w:pPr>
      <w:r>
        <w:rPr>
          <w:b/>
          <w:color w:val="1A1F2B"/>
          <w:sz w:val="21"/>
        </w:rPr>
        <w:t xml:space="preserve">No CloudHSM needed — </w:t>
      </w:r>
      <w:r>
        <w:rPr>
          <w:color w:val="1A1F2B"/>
          <w:sz w:val="21"/>
        </w:rPr>
        <w:t>no cluster to stand up, no per-HSM 24/7 bill, no connection cliff — for the benchmark or for production.</w:t>
      </w:r>
    </w:p>
    <w:p>
      <w:pPr>
        <w:pStyle w:val="ListBullet"/>
      </w:pPr>
      <w:r>
        <w:rPr>
          <w:b/>
          <w:color w:val="1A1F2B"/>
          <w:sz w:val="21"/>
        </w:rPr>
        <w:t xml:space="preserve">One rig, honest numbers — </w:t>
      </w:r>
      <w:r>
        <w:rPr>
          <w:color w:val="1A1F2B"/>
          <w:sz w:val="21"/>
        </w:rPr>
        <w:t>remove the HSM as a variable and you measure EJBCA truthfully; the same rig then sizes classical and post-quantum profiles side by side.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