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 w:line="276"/>
        <w:jc w:val="left"/>
      </w:pPr>
      <w:r>
        <w:rPr>
          <w:rFonts w:ascii="Times New Roman" w:cs="Times New Roman" w:eastAsia="Times New Roman" w:hAnsi="Times New Roman"/>
          <w:b/>
          <w:bCs/>
          <w:sz w:val="26"/>
          <w:szCs w:val="26"/>
        </w:rPr>
        <w:t xml:space="preserve">Cover Letter</w:t>
      </w:r>
    </w:p>
    <w:p>
      <w:pPr>
        <w:spacing w:after="180" w:line="276"/>
        <w:jc w:val="left"/>
      </w:pPr>
      <w:r>
        <w:rPr>
          <w:rFonts w:ascii="Times New Roman" w:cs="Times New Roman" w:eastAsia="Times New Roman" w:hAnsi="Times New Roman"/>
          <w:i/>
          <w:iCs/>
          <w:sz w:val="22"/>
          <w:szCs w:val="22"/>
        </w:rPr>
        <w:t xml:space="preserve">Submission to Computer Law &amp; Security Review — Special Issue: AI Regulation in Asia</w:t>
      </w:r>
    </w:p>
    <w:p>
      <w:pPr>
        <w:spacing w:after="120"/>
      </w:pPr>
    </w:p>
    <w:p>
      <w:pPr>
        <w:spacing w:after="180" w:line="276"/>
        <w:jc w:val="left"/>
      </w:pPr>
      <w:r>
        <w:rPr>
          <w:rFonts w:ascii="Times New Roman" w:cs="Times New Roman" w:eastAsia="Times New Roman" w:hAnsi="Times New Roman"/>
          <w:sz w:val="22"/>
          <w:szCs w:val="22"/>
        </w:rPr>
        <w:t xml:space="preserve">[Date]</w:t>
      </w:r>
    </w:p>
    <w:p>
      <w:pPr>
        <w:spacing w:after="180" w:line="276"/>
        <w:jc w:val="left"/>
      </w:pPr>
      <w:r>
        <w:rPr>
          <w:rFonts w:ascii="Times New Roman" w:cs="Times New Roman" w:eastAsia="Times New Roman" w:hAnsi="Times New Roman"/>
          <w:b/>
          <w:bCs/>
          <w:sz w:val="22"/>
          <w:szCs w:val="22"/>
        </w:rPr>
        <w:t xml:space="preserve">To: </w:t>
      </w:r>
      <w:r>
        <w:rPr>
          <w:rFonts w:ascii="Times New Roman" w:cs="Times New Roman" w:eastAsia="Times New Roman" w:hAnsi="Times New Roman"/>
          <w:sz w:val="22"/>
          <w:szCs w:val="22"/>
        </w:rPr>
        <w:t xml:space="preserve">The Guest Editors, Special Issue on AI Regulation in Asia, Computer Law &amp; Security Review</w:t>
      </w:r>
    </w:p>
    <w:p>
      <w:pPr>
        <w:spacing w:after="120"/>
      </w:pPr>
    </w:p>
    <w:p>
      <w:pPr>
        <w:spacing w:after="180" w:line="276"/>
        <w:jc w:val="left"/>
      </w:pPr>
      <w:r>
        <w:rPr>
          <w:rFonts w:ascii="Times New Roman" w:cs="Times New Roman" w:eastAsia="Times New Roman" w:hAnsi="Times New Roman"/>
          <w:b/>
          <w:bCs/>
          <w:sz w:val="22"/>
          <w:szCs w:val="22"/>
        </w:rPr>
        <w:t xml:space="preserve">Re: </w:t>
      </w:r>
      <w:r>
        <w:rPr>
          <w:rFonts w:ascii="Times New Roman" w:cs="Times New Roman" w:eastAsia="Times New Roman" w:hAnsi="Times New Roman"/>
          <w:i/>
          <w:iCs/>
          <w:sz w:val="22"/>
          <w:szCs w:val="22"/>
        </w:rPr>
        <w:t xml:space="preserve">“Action-release evidence for autonomous AI agents: a Korean pathway for capability-mediated accountability in Asian AI governance” (original research article)</w:t>
      </w:r>
    </w:p>
    <w:p>
      <w:pPr>
        <w:spacing w:after="120"/>
      </w:pPr>
    </w:p>
    <w:p>
      <w:pPr>
        <w:spacing w:after="180" w:line="276"/>
        <w:jc w:val="both"/>
      </w:pPr>
      <w:r>
        <w:rPr>
          <w:rFonts w:ascii="Times New Roman" w:cs="Times New Roman" w:eastAsia="Times New Roman" w:hAnsi="Times New Roman"/>
          <w:sz w:val="22"/>
          <w:szCs w:val="22"/>
        </w:rPr>
        <w:t xml:space="preserve">Dear Guest Editors,</w:t>
      </w:r>
    </w:p>
    <w:p>
      <w:pPr>
        <w:spacing w:after="180" w:line="276"/>
        <w:jc w:val="both"/>
      </w:pPr>
      <w:r>
        <w:rPr>
          <w:rFonts w:ascii="Times New Roman" w:cs="Times New Roman" w:eastAsia="Times New Roman" w:hAnsi="Times New Roman"/>
          <w:sz w:val="22"/>
          <w:szCs w:val="22"/>
        </w:rPr>
        <w:t xml:space="preserve">I am pleased to submit the above manuscript for consideration in the special issue on AI Regulation in Asia. The paper is, to my knowledge, the first to define and operationalise an “action-release evidentiary object” for autonomous AI agents and to ground it doctrinally in Korean and comparative Asian data-protection and AI law.</w:t>
      </w:r>
    </w:p>
    <w:p>
      <w:pPr>
        <w:spacing w:after="180" w:line="276"/>
        <w:jc w:val="both"/>
      </w:pPr>
      <w:r>
        <w:rPr>
          <w:rFonts w:ascii="Times New Roman" w:cs="Times New Roman" w:eastAsia="Times New Roman" w:hAnsi="Times New Roman"/>
          <w:b/>
          <w:bCs/>
          <w:sz w:val="22"/>
          <w:szCs w:val="22"/>
        </w:rPr>
        <w:t xml:space="preserve">The problem and the contribution. </w:t>
      </w:r>
      <w:r>
        <w:rPr>
          <w:rFonts w:ascii="Times New Roman" w:cs="Times New Roman" w:eastAsia="Times New Roman" w:hAnsi="Times New Roman"/>
          <w:sz w:val="22"/>
          <w:szCs w:val="22"/>
        </w:rPr>
        <w:t xml:space="preserve">As language-model agents begin to plan, call tools and exercise delegated authority, the legally decisive event is no longer the model output but the moment at which a privileged capability is released. Existing instruments require logs, oversight, documentation and traceability, yet none specifies the contemporaneous record that explains why a conformant system allowed a particular privileged action. The manuscript names this the action-release accountability gap and proposes VERA-H (Verifiable Evidence of Release Authority, Hardened): a control-plane receipt, bound to the action by a one-time capability token, that records the policy-grounded basis accepted before execution. The contribution is fourfold — a definition of the gap; a narrow legal category (automated consequential agentic action); a comparative placement of Korea among Singapore, Japan and China and against EU and US backdrops; and a recasting of the receipt as legal infrastructure rather than a security product.</w:t>
      </w:r>
    </w:p>
    <w:p>
      <w:pPr>
        <w:spacing w:after="180" w:line="276"/>
        <w:jc w:val="both"/>
      </w:pPr>
      <w:r>
        <w:rPr>
          <w:rFonts w:ascii="Times New Roman" w:cs="Times New Roman" w:eastAsia="Times New Roman" w:hAnsi="Times New Roman"/>
          <w:b/>
          <w:bCs/>
          <w:sz w:val="22"/>
          <w:szCs w:val="22"/>
        </w:rPr>
        <w:t xml:space="preserve">Fit with the special issue. </w:t>
      </w:r>
      <w:r>
        <w:rPr>
          <w:rFonts w:ascii="Times New Roman" w:cs="Times New Roman" w:eastAsia="Times New Roman" w:hAnsi="Times New Roman"/>
          <w:sz w:val="22"/>
          <w:szCs w:val="22"/>
        </w:rPr>
        <w:t xml:space="preserve">The paper engages the special issue’s theme directly. It reads Korea not as a de jure adopter of the European template nor as a soft-law alternative, but as a selective participant in the Brussels Effect, recombining a binding rights hook (PIPA Article 37-2), a trust-oriented AI Basic Act (in force 22 January 2026) and public-sector procurement leverage. Singapore, Japan and China are used as analytically distinct regulatory levers, and the comparison is supported by primary instruments and recent Asian scholarship rather than by a Western lens alone.</w:t>
      </w:r>
    </w:p>
    <w:p>
      <w:pPr>
        <w:spacing w:after="180" w:line="276"/>
        <w:jc w:val="both"/>
      </w:pPr>
      <w:r>
        <w:rPr>
          <w:rFonts w:ascii="Times New Roman" w:cs="Times New Roman" w:eastAsia="Times New Roman" w:hAnsi="Times New Roman"/>
          <w:b/>
          <w:bCs/>
          <w:sz w:val="22"/>
          <w:szCs w:val="22"/>
        </w:rPr>
        <w:t xml:space="preserve">Rigour and testability. </w:t>
      </w:r>
      <w:r>
        <w:rPr>
          <w:rFonts w:ascii="Times New Roman" w:cs="Times New Roman" w:eastAsia="Times New Roman" w:hAnsi="Times New Roman"/>
          <w:sz w:val="22"/>
          <w:szCs w:val="22"/>
        </w:rPr>
        <w:t xml:space="preserve">The architectural claim is stated so that it can be tested and broken, not merely asserted. It reduces to four conformance invariants (I1–I4), stated in Section 8.1 as a semi-formal invariant model of an abstract transition system in which a single witnessed counter-trace refutes conformance for a given deployment; each invariant carries its own inductive-preservation argument and maps to a fixed, a priori conformance test. Receipt tamper-evidence is treated not as a further invariant but as a consequence of the ledger-integrity assumption of the trusted environment (Section 11), so the invariant set contains only properties independent of that assumption. A worked receipt (Box 1) instantiates the schema for a concrete incident; a trust-boundary table (Table 6) partitions the deployment into trusted environment, release boundary and untrusted environment, each mapped to a behavioural conformance test in the online Supplementary Material. The doctrinal argument is built as a four-rung ladder designed to survive the failure of any single statutory hook, and the proposal is explicitly framed as evidentiary rather than as a safe harbour or liability engine.</w:t>
      </w:r>
    </w:p>
    <w:p>
      <w:pPr>
        <w:spacing w:after="180" w:line="276"/>
        <w:jc w:val="both"/>
      </w:pPr>
      <w:r>
        <w:rPr>
          <w:rFonts w:ascii="Times New Roman" w:cs="Times New Roman" w:eastAsia="Times New Roman" w:hAnsi="Times New Roman"/>
          <w:b/>
          <w:bCs/>
          <w:sz w:val="22"/>
          <w:szCs w:val="22"/>
        </w:rPr>
        <w:t xml:space="preserve">Response to formal-validation and interpretive-method concerns. </w:t>
      </w:r>
      <w:r>
        <w:rPr>
          <w:rFonts w:ascii="Times New Roman" w:cs="Times New Roman" w:eastAsia="Times New Roman" w:hAnsi="Times New Roman"/>
          <w:sz w:val="22"/>
          <w:szCs w:val="22"/>
        </w:rPr>
        <w:t xml:space="preserve">Three choices state the paper’s claims at their honest size. First, the §4.1 argument is anchored to Supreme Court of Korea authority on purposive-and-systematic interpretation (Case Nos. 2006Da81035 and 2011Du19239, en banc), squarely confronts the strict-interpretation objection arising from within the same canon — now itself anchored to Supreme Court authority on the strict construction of burdensome provisions (Case No. 2011Du3388) —, and frames the lex lata claim as an interpretive proposition, with Schufa invoked as comparative persuasion rather than binding doctrine. Second, Section 8.1 states four conformance invariants (I1–I4), treating receipt tamper-evidence as a consequence of the ledger-integrity assumption of the trusted environment rather than as a fifth invariant. Third, the technical claim is a semi-formal invariant model refutable by a single counter-trace, and the accompanying reference procedure is a deterministic checking procedure for the predicates, not an empirical validation of any implemented system.</w:t>
      </w:r>
    </w:p>
    <w:p>
      <w:pPr>
        <w:spacing w:after="180" w:line="276"/>
        <w:jc w:val="both"/>
      </w:pPr>
      <w:r>
        <w:rPr>
          <w:rFonts w:ascii="Times New Roman" w:cs="Times New Roman" w:eastAsia="Times New Roman" w:hAnsi="Times New Roman"/>
          <w:b/>
          <w:bCs/>
          <w:sz w:val="22"/>
          <w:szCs w:val="22"/>
        </w:rPr>
        <w:t xml:space="preserve">Originality and ethics. </w:t>
      </w:r>
      <w:r>
        <w:rPr>
          <w:rFonts w:ascii="Times New Roman" w:cs="Times New Roman" w:eastAsia="Times New Roman" w:hAnsi="Times New Roman"/>
          <w:sz w:val="22"/>
          <w:szCs w:val="22"/>
        </w:rPr>
        <w:t xml:space="preserve">The manuscript is original, has not been published previously, and is not under consideration elsewhere. It contains no human-subjects or animal research and reports no implemented system; its claims are doctrinal, comparative and architectural. To preserve double-anonymized review, author and funding identifiers have been removed from the manuscript and are provided in the separate title page submitted with this manuscript; the anonymised manuscript carries the journal-standard declaration of competing interests, and the signed declaration accompanies the submission materials.</w:t>
      </w:r>
    </w:p>
    <w:p>
      <w:pPr>
        <w:spacing w:after="180" w:line="276"/>
        <w:jc w:val="both"/>
      </w:pPr>
      <w:r>
        <w:rPr>
          <w:rFonts w:ascii="Times New Roman" w:cs="Times New Roman" w:eastAsia="Times New Roman" w:hAnsi="Times New Roman"/>
          <w:b/>
          <w:bCs/>
          <w:sz w:val="22"/>
          <w:szCs w:val="22"/>
        </w:rPr>
        <w:t xml:space="preserve">Materials. </w:t>
      </w:r>
      <w:r>
        <w:rPr>
          <w:rFonts w:ascii="Times New Roman" w:cs="Times New Roman" w:eastAsia="Times New Roman" w:hAnsi="Times New Roman"/>
          <w:sz w:val="22"/>
          <w:szCs w:val="22"/>
        </w:rPr>
        <w:t xml:space="preserve">The submission comprises the main manuscript (approximately 13,800 words of body text, 75 references, six tables and one figure) and Supplementary Material A (online-only), which provides the receipt schema, capability-token claims, verifier-independence and risk-tier controls, the behavioural conformance battery and operational metrics. The body can be read independently of the appendices. The length sits within the journal’s stated flexibility for contributions whose subject matter — here doctrinal, comparative and technical at once — requires it.</w:t>
      </w:r>
    </w:p>
    <w:p>
      <w:pPr>
        <w:spacing w:after="180" w:line="276"/>
        <w:jc w:val="both"/>
      </w:pPr>
      <w:r>
        <w:rPr>
          <w:rFonts w:ascii="Times New Roman" w:cs="Times New Roman" w:eastAsia="Times New Roman" w:hAnsi="Times New Roman"/>
          <w:sz w:val="22"/>
          <w:szCs w:val="22"/>
        </w:rPr>
        <w:t xml:space="preserve">Thank you for considering this work. I would be glad to respond to any questions and to provide the standardisation-facing conformance materials referenced in the Supplementary Material.</w:t>
      </w:r>
    </w:p>
    <w:p>
      <w:pPr>
        <w:spacing w:after="120"/>
      </w:pPr>
    </w:p>
    <w:p>
      <w:pPr>
        <w:spacing w:after="180" w:line="276"/>
        <w:jc w:val="left"/>
      </w:pPr>
      <w:r>
        <w:rPr>
          <w:rFonts w:ascii="Times New Roman" w:cs="Times New Roman" w:eastAsia="Times New Roman" w:hAnsi="Times New Roman"/>
          <w:sz w:val="22"/>
          <w:szCs w:val="22"/>
        </w:rPr>
        <w:t xml:space="preserve">Sincerely,</w:t>
      </w:r>
    </w:p>
    <w:p>
      <w:pPr>
        <w:spacing w:after="180" w:line="276"/>
        <w:jc w:val="left"/>
      </w:pPr>
      <w:r>
        <w:rPr>
          <w:rFonts w:ascii="Times New Roman" w:cs="Times New Roman" w:eastAsia="Times New Roman" w:hAnsi="Times New Roman"/>
          <w:sz w:val="22"/>
          <w:szCs w:val="22"/>
        </w:rPr>
        <w:t xml:space="preserve">[Author name]</w:t>
      </w:r>
    </w:p>
    <w:p>
      <w:pPr>
        <w:spacing w:after="180" w:line="276"/>
        <w:jc w:val="left"/>
      </w:pPr>
      <w:r>
        <w:rPr>
          <w:rFonts w:ascii="Times New Roman" w:cs="Times New Roman" w:eastAsia="Times New Roman" w:hAnsi="Times New Roman"/>
          <w:sz w:val="22"/>
          <w:szCs w:val="22"/>
        </w:rPr>
        <w:t xml:space="preserve">[Affiliation]</w:t>
      </w:r>
    </w:p>
    <w:p>
      <w:pPr>
        <w:spacing w:after="180" w:line="276"/>
        <w:jc w:val="left"/>
      </w:pPr>
      <w:r>
        <w:rPr>
          <w:rFonts w:ascii="Times New Roman" w:cs="Times New Roman" w:eastAsia="Times New Roman" w:hAnsi="Times New Roman"/>
          <w:sz w:val="22"/>
          <w:szCs w:val="22"/>
        </w:rPr>
        <w:t xml:space="preserve">[Email / ORCID]</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2026-06-30T08:35:39.266Z</dcterms:created>
  <dcterms:modified xsi:type="dcterms:W3CDTF">2026-06-30T08:35:39.266Z</dcterms:modified>
</cp:coreProperties>
</file>

<file path=docProps/custom.xml><?xml version="1.0" encoding="utf-8"?>
<Properties xmlns="http://schemas.openxmlformats.org/officeDocument/2006/custom-properties" xmlns:vt="http://schemas.openxmlformats.org/officeDocument/2006/docPropsVTypes"/>
</file>