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rFonts w:ascii="Calibri" w:hAnsi="Calibri"/>
          <w:b/>
          <w:i w:val="0"/>
          <w:color w:val="16785B"/>
          <w:sz w:val="24"/>
        </w:rPr>
        <w:t>WEALTHORA</w:t>
      </w:r>
    </w:p>
    <w:p>
      <w:pPr>
        <w:spacing w:after="200"/>
      </w:pPr>
      <w:r>
        <w:rPr>
          <w:rFonts w:ascii="Arial" w:hAnsi="Arial"/>
          <w:b/>
          <w:i w:val="0"/>
          <w:color w:val="0F5F49"/>
          <w:sz w:val="62"/>
        </w:rPr>
        <w:t>Personal Expense Tracker</w:t>
      </w:r>
    </w:p>
    <w:p>
      <w:pPr>
        <w:spacing w:after="520"/>
      </w:pPr>
      <w:r>
        <w:rPr>
          <w:rFonts w:ascii="Calibri" w:hAnsi="Calibri"/>
          <w:b/>
          <w:i/>
          <w:color w:val="C58B20"/>
          <w:sz w:val="32"/>
        </w:rPr>
        <w:t>Take Control of Every Taka.</w:t>
      </w:r>
    </w:p>
    <w:tbl>
      <w:tblPr>
        <w:tblW w:type="auto" w:w="0"/>
        <w:tblLook w:firstColumn="1" w:firstRow="1" w:lastColumn="0" w:lastRow="0" w:noHBand="0" w:noVBand="1" w:val="04A0"/>
      </w:tblPr>
      <w:tblGrid>
        <w:gridCol w:w="9468"/>
      </w:tblGrid>
      <w:tr>
        <w:tc>
          <w:tcPr>
            <w:tcW w:type="dxa" w:w="9468"/>
            <w:shd w:fill="EAF5F0"/>
            <w:tcBorders>
              <w:top w:val="single" w:sz="10" w:color="16785B"/>
              <w:bottom w:val="single" w:sz="4" w:color="C9D1D9"/>
              <w:start w:val="single" w:sz="4" w:color="C9D1D9"/>
              <w:end w:val="single" w:sz="4" w:color="C9D1D9"/>
            </w:tcBorders>
            <w:tcMar>
              <w:top w:w="250" w:type="dxa"/>
              <w:start w:w="260" w:type="dxa"/>
              <w:bottom w:w="250" w:type="dxa"/>
              <w:end w:w="260" w:type="dxa"/>
            </w:tcMar>
          </w:tcPr>
          <w:p>
            <w:pPr>
              <w:spacing w:after="80"/>
            </w:pPr>
            <w:r>
              <w:rPr>
                <w:rFonts w:ascii="Calibri" w:hAnsi="Calibri"/>
                <w:b/>
                <w:i w:val="0"/>
                <w:color w:val="0F5F49"/>
                <w:sz w:val="26"/>
              </w:rPr>
              <w:t>FINAL ACADEMIC PROJECT REPORT</w:t>
            </w:r>
          </w:p>
          <w:p>
            <w:pPr>
              <w:spacing w:after="40"/>
            </w:pPr>
            <w:r>
              <w:rPr>
                <w:rFonts w:ascii="Calibri" w:hAnsi="Calibri"/>
                <w:b w:val="0"/>
                <w:i w:val="0"/>
                <w:color w:val="1F2937"/>
                <w:sz w:val="20"/>
              </w:rPr>
              <w:t>Course: CSE 215 - Object-Oriented Programming</w:t>
            </w:r>
          </w:p>
          <w:p>
            <w:pPr>
              <w:spacing w:after="40"/>
            </w:pPr>
            <w:r>
              <w:rPr>
                <w:rFonts w:ascii="Calibri" w:hAnsi="Calibri"/>
                <w:b w:val="0"/>
                <w:i w:val="0"/>
                <w:color w:val="1F2937"/>
                <w:sz w:val="20"/>
              </w:rPr>
              <w:t>Section: 11</w:t>
            </w:r>
          </w:p>
          <w:p>
            <w:pPr>
              <w:spacing w:after="40"/>
            </w:pPr>
            <w:r>
              <w:rPr>
                <w:rFonts w:ascii="Calibri" w:hAnsi="Calibri"/>
                <w:b w:val="0"/>
                <w:i w:val="0"/>
                <w:color w:val="1F2937"/>
                <w:sz w:val="20"/>
              </w:rPr>
              <w:t>Faculty: SAM3</w:t>
            </w:r>
          </w:p>
          <w:p>
            <w:pPr>
              <w:spacing w:after="40"/>
            </w:pPr>
            <w:r>
              <w:rPr>
                <w:rFonts w:ascii="Calibri" w:hAnsi="Calibri"/>
                <w:b w:val="0"/>
                <w:i w:val="0"/>
                <w:color w:val="1F2937"/>
                <w:sz w:val="20"/>
              </w:rPr>
              <w:t>Demonstration date: August 25, 2026</w:t>
            </w:r>
          </w:p>
          <w:p>
            <w:pPr>
              <w:spacing w:after="40"/>
            </w:pPr>
            <w:r>
              <w:rPr>
                <w:rFonts w:ascii="Calibri" w:hAnsi="Calibri"/>
                <w:b w:val="0"/>
                <w:i w:val="0"/>
                <w:color w:val="1F2937"/>
                <w:sz w:val="20"/>
              </w:rPr>
              <w:t>Registered topic: Personal Expenses Tracker</w:t>
            </w:r>
          </w:p>
          <w:p>
            <w:pPr>
              <w:spacing w:after="40"/>
            </w:pPr>
            <w:r>
              <w:rPr>
                <w:rFonts w:ascii="Calibri" w:hAnsi="Calibri"/>
                <w:b w:val="0"/>
                <w:i w:val="0"/>
                <w:color w:val="1F2937"/>
                <w:sz w:val="20"/>
              </w:rPr>
              <w:t>Technology: Java 25, Java Swing, Apache Ant, CSV persistence</w:t>
            </w:r>
          </w:p>
        </w:tc>
      </w:tr>
    </w:tbl>
    <w:p>
      <w:pPr>
        <w:spacing w:after="200"/>
      </w:pPr>
    </w:p>
    <w:p>
      <w:pPr>
        <w:pStyle w:val="Heading2"/>
        <w:keepNext/>
      </w:pPr>
      <w:r>
        <w:t>Project team</w:t>
      </w:r>
    </w:p>
    <w:tbl>
      <w:tblPr>
        <w:tblW w:type="dxa" w:w="9216"/>
        <w:jc w:val="center"/>
        <w:tblLayout w:type="fixed"/>
        <w:tblLook w:firstColumn="1" w:firstRow="1" w:lastColumn="0" w:lastRow="0" w:noHBand="0" w:noVBand="1" w:val="04A0"/>
      </w:tblPr>
      <w:tblGrid>
        <w:gridCol w:w="6192"/>
        <w:gridCol w:w="3024"/>
      </w:tblGrid>
      <w:tr>
        <w:trPr>
          <w:tblHeader w:val="true"/>
        </w:trPr>
        <w:tc>
          <w:tcPr>
            <w:tcW w:type="dxa" w:w="6192"/>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Team member</w:t>
            </w:r>
          </w:p>
        </w:tc>
        <w:tc>
          <w:tcPr>
            <w:tcW w:type="dxa" w:w="3024"/>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Student ID</w:t>
            </w:r>
          </w:p>
        </w:tc>
      </w:tr>
      <w:tr>
        <w:tc>
          <w:tcPr>
            <w:tcW w:type="dxa" w:w="619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9"/>
              </w:rPr>
              <w:t>Shibli Rahman Moon</w:t>
            </w:r>
          </w:p>
        </w:tc>
        <w:tc>
          <w:tcPr>
            <w:tcW w:type="dxa" w:w="302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9"/>
              </w:rPr>
              <w:t>2534187012</w:t>
            </w:r>
          </w:p>
        </w:tc>
      </w:tr>
      <w:tr>
        <w:tc>
          <w:tcPr>
            <w:tcW w:type="dxa" w:w="6192"/>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9"/>
              </w:rPr>
              <w:t>Md. Nafij Jaman Rabbi</w:t>
            </w:r>
          </w:p>
        </w:tc>
        <w:tc>
          <w:tcPr>
            <w:tcW w:type="dxa" w:w="3024"/>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9"/>
              </w:rPr>
              <w:t>2513403642</w:t>
            </w:r>
          </w:p>
        </w:tc>
      </w:tr>
      <w:tr>
        <w:tc>
          <w:tcPr>
            <w:tcW w:type="dxa" w:w="619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9"/>
              </w:rPr>
              <w:t>Md. Monimul Haque</w:t>
            </w:r>
          </w:p>
        </w:tc>
        <w:tc>
          <w:tcPr>
            <w:tcW w:type="dxa" w:w="302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9"/>
              </w:rPr>
              <w:t>1821781042</w:t>
            </w:r>
          </w:p>
        </w:tc>
      </w:tr>
    </w:tbl>
    <w:p>
      <w:pPr>
        <w:spacing w:after="0"/>
      </w:pPr>
    </w:p>
    <w:p>
      <w:pPr>
        <w:spacing w:before="480"/>
        <w:jc w:val="left"/>
      </w:pPr>
      <w:r>
        <w:rPr>
          <w:rFonts w:ascii="Calibri" w:hAnsi="Calibri"/>
          <w:b w:val="0"/>
          <w:i/>
          <w:color w:val="5B6573"/>
          <w:sz w:val="20"/>
        </w:rPr>
        <w:t>Prepared for academic defense and submission review</w:t>
      </w:r>
    </w:p>
    <w:p>
      <w:r>
        <w:rPr>
          <w:rFonts w:ascii="Consolas" w:hAnsi="Consolas"/>
          <w:b w:val="0"/>
          <w:i w:val="0"/>
          <w:color w:val="5B6573"/>
          <w:sz w:val="18"/>
        </w:rPr>
        <w:t>Repository baseline: feature/shared-online-core @ d987a4a997fb</w:t>
      </w:r>
    </w:p>
    <w:p>
      <w:r>
        <w:rPr>
          <w:rFonts w:ascii="Calibri" w:hAnsi="Calibri"/>
          <w:b w:val="0"/>
          <w:i w:val="0"/>
          <w:color w:val="5B6573"/>
          <w:sz w:val="18"/>
        </w:rPr>
        <w:t>Document prepared: 2026-08-09</w:t>
      </w:r>
    </w:p>
    <w:p>
      <w:r>
        <w:br w:type="page"/>
      </w:r>
    </w:p>
    <w:p>
      <w:pPr>
        <w:pStyle w:val="Heading1"/>
        <w:keepNext/>
      </w:pPr>
      <w:r>
        <w:t>1. Problem statement, objectives and features</w:t>
      </w:r>
    </w:p>
    <w:p>
      <w:pPr>
        <w:spacing w:after="100" w:lineRule="auto" w:line="276"/>
        <w:jc w:val="both"/>
      </w:pPr>
      <w:r>
        <w:rPr>
          <w:rFonts w:ascii="Calibri" w:hAnsi="Calibri"/>
          <w:b w:val="0"/>
          <w:i w:val="0"/>
          <w:color w:val="1F2937"/>
          <w:sz w:val="21"/>
        </w:rPr>
        <w:t>Personal finance records are often divided across notebooks, spreadsheets, wallet statements and memory. This makes it difficult to answer simple questions: how much money is available, where it was spent, whether a budget is at risk and which commitments are approaching. Wealthora addresses this problem as a local Java Swing Personal Expense Tracker that keeps day-to-day finance work understandable, testable and usable without a permanent internet connection.</w:t>
      </w:r>
    </w:p>
    <w:p>
      <w:pPr>
        <w:pStyle w:val="Heading2"/>
        <w:keepNext/>
      </w:pPr>
      <w:r>
        <w:t>Objectives</w:t>
      </w:r>
    </w:p>
    <w:p>
      <w:pPr>
        <w:pStyle w:val="ListBullet"/>
        <w:spacing w:after="60" w:line="259" w:lineRule="auto"/>
        <w:ind w:left="346" w:hanging="230"/>
      </w:pPr>
      <w:r>
        <w:rPr>
          <w:rFonts w:ascii="Calibri" w:hAnsi="Calibri"/>
          <w:b w:val="0"/>
          <w:i w:val="0"/>
          <w:color w:val="1F2937"/>
          <w:sz w:val="20"/>
        </w:rPr>
        <w:t>Model income and expenses through production-used abstraction, inheritance, polymorphism, encapsulation and interfaces.</w:t>
      </w:r>
    </w:p>
    <w:p>
      <w:pPr>
        <w:pStyle w:val="ListBullet"/>
        <w:spacing w:after="60" w:line="259" w:lineRule="auto"/>
        <w:ind w:left="346" w:hanging="230"/>
      </w:pPr>
      <w:r>
        <w:rPr>
          <w:rFonts w:ascii="Calibri" w:hAnsi="Calibri"/>
          <w:b w:val="0"/>
          <w:i w:val="0"/>
          <w:color w:val="1F2937"/>
          <w:sz w:val="20"/>
        </w:rPr>
        <w:t>Provide a coherent Swing workflow for accounts, transactions, transfers, categories, budgets, recurring entries, planning and reports.</w:t>
      </w:r>
    </w:p>
    <w:p>
      <w:pPr>
        <w:pStyle w:val="ListBullet"/>
        <w:spacing w:after="60" w:line="259" w:lineRule="auto"/>
        <w:ind w:left="346" w:hanging="230"/>
      </w:pPr>
      <w:r>
        <w:rPr>
          <w:rFonts w:ascii="Calibri" w:hAnsi="Calibri"/>
          <w:b w:val="0"/>
          <w:i w:val="0"/>
          <w:color w:val="1F2937"/>
          <w:sz w:val="20"/>
        </w:rPr>
        <w:t>Protect local access through hashed credentials, verified email ownership, protected offline recovery, authorization and an exclusive data lock.</w:t>
      </w:r>
    </w:p>
    <w:p>
      <w:pPr>
        <w:pStyle w:val="ListBullet"/>
        <w:spacing w:after="60" w:line="259" w:lineRule="auto"/>
        <w:ind w:left="346" w:hanging="230"/>
      </w:pPr>
      <w:r>
        <w:rPr>
          <w:rFonts w:ascii="Calibri" w:hAnsi="Calibri"/>
          <w:b w:val="0"/>
          <w:i w:val="0"/>
          <w:color w:val="1F2937"/>
          <w:sz w:val="20"/>
        </w:rPr>
        <w:t>Keep every authenticated user's finance records in a separate workspace and preserve them across normal restarts.</w:t>
      </w:r>
    </w:p>
    <w:p>
      <w:pPr>
        <w:pStyle w:val="ListBullet"/>
        <w:spacing w:after="60" w:line="259" w:lineRule="auto"/>
        <w:ind w:left="346" w:hanging="230"/>
      </w:pPr>
      <w:r>
        <w:rPr>
          <w:rFonts w:ascii="Calibri" w:hAnsi="Calibri"/>
          <w:b w:val="0"/>
          <w:i w:val="0"/>
          <w:color w:val="1F2937"/>
          <w:sz w:val="20"/>
        </w:rPr>
        <w:t>Support safe import/export, backup/restore, presentation data and a reproducible Ant/NetBeans build and defense workflow.</w:t>
      </w:r>
    </w:p>
    <w:p>
      <w:pPr>
        <w:pStyle w:val="Heading2"/>
        <w:keepNext/>
      </w:pPr>
      <w:r>
        <w:t>Implemented feature overview</w:t>
      </w:r>
    </w:p>
    <w:tbl>
      <w:tblPr>
        <w:tblW w:type="dxa" w:w="9216"/>
        <w:jc w:val="center"/>
        <w:tblLayout w:type="fixed"/>
        <w:tblLook w:firstColumn="1" w:firstRow="1" w:lastColumn="0" w:lastRow="0" w:noHBand="0" w:noVBand="1" w:val="04A0"/>
      </w:tblPr>
      <w:tblGrid>
        <w:gridCol w:w="1800"/>
        <w:gridCol w:w="7416"/>
      </w:tblGrid>
      <w:tr>
        <w:trPr>
          <w:tblHeader w:val="true"/>
        </w:trPr>
        <w:tc>
          <w:tcPr>
            <w:tcW w:type="dxa" w:w="1800"/>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Area</w:t>
            </w:r>
          </w:p>
        </w:tc>
        <w:tc>
          <w:tcPr>
            <w:tcW w:type="dxa" w:w="7416"/>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Implemented capability</w:t>
            </w:r>
          </w:p>
        </w:tc>
      </w:tr>
      <w:tr>
        <w:tc>
          <w:tcPr>
            <w:tcW w:type="dxa" w:w="180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Daily finance</w:t>
            </w:r>
          </w:p>
        </w:tc>
        <w:tc>
          <w:tcPr>
            <w:tcW w:type="dxa" w:w="7416"/>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Dashboard, balances, accounts, income, expenses, transfers, categories, edit/delete confirmation, search and filters</w:t>
            </w:r>
          </w:p>
        </w:tc>
      </w:tr>
      <w:tr>
        <w:tc>
          <w:tcPr>
            <w:tcW w:type="dxa" w:w="180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Planning</w:t>
            </w:r>
          </w:p>
        </w:tc>
        <w:tc>
          <w:tcPr>
            <w:tcW w:type="dxa" w:w="7416"/>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Monthly budgets and progress, recurring transactions, quick entry, savings goals, debts and repayments</w:t>
            </w:r>
          </w:p>
        </w:tc>
      </w:tr>
      <w:tr>
        <w:tc>
          <w:tcPr>
            <w:tcW w:type="dxa" w:w="180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Analysis</w:t>
            </w:r>
          </w:p>
        </w:tc>
        <w:tc>
          <w:tcPr>
            <w:tcW w:type="dxa" w:w="7416"/>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Cash-flow summaries, portfolio analytics, calendar activity, advanced reports and CSV/PDF outputs</w:t>
            </w:r>
          </w:p>
        </w:tc>
      </w:tr>
      <w:tr>
        <w:tc>
          <w:tcPr>
            <w:tcW w:type="dxa" w:w="180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Data safety</w:t>
            </w:r>
          </w:p>
        </w:tc>
        <w:tc>
          <w:tcPr>
            <w:tcW w:type="dxa" w:w="7416"/>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Atomic CSV writes, backup/restore, validated CSV import, Money Manager preview/import and per-user demo data</w:t>
            </w:r>
          </w:p>
        </w:tc>
      </w:tr>
      <w:tr>
        <w:tc>
          <w:tcPr>
            <w:tcW w:type="dxa" w:w="180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Access</w:t>
            </w:r>
          </w:p>
        </w:tc>
        <w:tc>
          <w:tcPr>
            <w:tcW w:type="dxa" w:w="7416"/>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Local sign-in, email OTP registration/reset, offline recovery, roles, audit history, isolated workspaces and process lock</w:t>
            </w:r>
          </w:p>
        </w:tc>
      </w:tr>
    </w:tbl>
    <w:p>
      <w:pPr>
        <w:spacing w:after="0"/>
      </w:pPr>
    </w:p>
    <w:tbl>
      <w:tblPr>
        <w:tblW w:type="dxa" w:w="9216"/>
        <w:jc w:val="center"/>
        <w:tblLayout w:type="fixed"/>
        <w:tblLook w:firstColumn="1" w:firstRow="1" w:lastColumn="0" w:lastRow="0" w:noHBand="0" w:noVBand="1" w:val="04A0"/>
      </w:tblPr>
      <w:tblGrid>
        <w:gridCol w:w="2304"/>
        <w:gridCol w:w="2304"/>
        <w:gridCol w:w="2304"/>
        <w:gridCol w:w="2304"/>
      </w:tblGrid>
      <w:tr>
        <w:tc>
          <w:tcPr>
            <w:tcW w:type="dxa" w:w="2304"/>
            <w:shd w:fill="EAF5F0"/>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Java 25</w:t>
            </w:r>
          </w:p>
          <w:p>
            <w:pPr>
              <w:spacing w:after="0"/>
              <w:jc w:val="center"/>
            </w:pPr>
            <w:r>
              <w:rPr>
                <w:rFonts w:ascii="Calibri" w:hAnsi="Calibri"/>
                <w:b/>
                <w:i w:val="0"/>
                <w:color w:val="5B6573"/>
                <w:sz w:val="17"/>
              </w:rPr>
              <w:t>DESKTOP RUNTIME</w:t>
            </w:r>
          </w:p>
        </w:tc>
        <w:tc>
          <w:tcPr>
            <w:tcW w:type="dxa" w:w="2304"/>
            <w:shd w:fill="EEF4FB"/>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47 / 47</w:t>
            </w:r>
          </w:p>
          <w:p>
            <w:pPr>
              <w:spacing w:after="0"/>
              <w:jc w:val="center"/>
            </w:pPr>
            <w:r>
              <w:rPr>
                <w:rFonts w:ascii="Calibri" w:hAnsi="Calibri"/>
                <w:b/>
                <w:i w:val="0"/>
                <w:color w:val="5B6573"/>
                <w:sz w:val="17"/>
              </w:rPr>
              <w:t>TEST ENTRY POINTS</w:t>
            </w:r>
          </w:p>
        </w:tc>
        <w:tc>
          <w:tcPr>
            <w:tcW w:type="dxa" w:w="2304"/>
            <w:shd w:fill="EAF5F0"/>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2</w:t>
            </w:r>
          </w:p>
          <w:p>
            <w:pPr>
              <w:spacing w:after="0"/>
              <w:jc w:val="center"/>
            </w:pPr>
            <w:r>
              <w:rPr>
                <w:rFonts w:ascii="Calibri" w:hAnsi="Calibri"/>
                <w:b/>
                <w:i w:val="0"/>
                <w:color w:val="5B6573"/>
                <w:sz w:val="17"/>
              </w:rPr>
              <w:t>DISTRIBUTION JARS</w:t>
            </w:r>
          </w:p>
        </w:tc>
        <w:tc>
          <w:tcPr>
            <w:tcW w:type="dxa" w:w="2304"/>
            <w:shd w:fill="EEF4FB"/>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0</w:t>
            </w:r>
          </w:p>
          <w:p>
            <w:pPr>
              <w:spacing w:after="0"/>
              <w:jc w:val="center"/>
            </w:pPr>
            <w:r>
              <w:rPr>
                <w:rFonts w:ascii="Calibri" w:hAnsi="Calibri"/>
                <w:b/>
                <w:i w:val="0"/>
                <w:color w:val="5B6573"/>
                <w:sz w:val="17"/>
              </w:rPr>
              <w:t>FUNCTIONAL BLOCKERS</w:t>
            </w:r>
          </w:p>
        </w:tc>
      </w:tr>
    </w:tbl>
    <w:p>
      <w:pPr>
        <w:spacing w:after="0"/>
      </w:pPr>
    </w:p>
    <w:p>
      <w:pPr>
        <w:spacing w:after="100" w:lineRule="auto" w:line="276"/>
        <w:jc w:val="both"/>
      </w:pPr>
      <w:r>
        <w:rPr>
          <w:rFonts w:ascii="Calibri" w:hAnsi="Calibri"/>
          <w:b/>
          <w:i w:val="0"/>
          <w:color w:val="1F2937"/>
          <w:sz w:val="21"/>
        </w:rPr>
        <w:t>Scope boundary.</w:t>
      </w:r>
      <w:r>
        <w:rPr>
          <w:rFonts w:ascii="Calibri" w:hAnsi="Calibri"/>
          <w:b w:val="0"/>
          <w:i w:val="0"/>
          <w:color w:val="1F2937"/>
          <w:sz w:val="21"/>
        </w:rPr>
        <w:t xml:space="preserve"> Wealthora contains no cloud finance backend. Existing sign-in and normal finance operations remain local. Network access is limited to explicit email-code actions through the standalone OTP relay.</w:t>
      </w:r>
    </w:p>
    <w:p>
      <w:r>
        <w:br w:type="page"/>
      </w:r>
    </w:p>
    <w:p>
      <w:pPr>
        <w:pStyle w:val="Heading1"/>
        <w:keepNext/>
      </w:pPr>
      <w:r>
        <w:t>2. Architecture and offline-first data design</w:t>
      </w:r>
    </w:p>
    <w:tbl>
      <w:tblPr>
        <w:tblW w:type="dxa" w:w="9217"/>
        <w:jc w:val="center"/>
        <w:tblLayout w:type="fixed"/>
        <w:tblLook w:firstColumn="1" w:firstRow="1" w:lastColumn="0" w:lastRow="0" w:noHBand="0" w:noVBand="1" w:val="04A0"/>
      </w:tblPr>
      <w:tblGrid>
        <w:gridCol w:w="2002"/>
        <w:gridCol w:w="403"/>
        <w:gridCol w:w="2002"/>
        <w:gridCol w:w="403"/>
        <w:gridCol w:w="2002"/>
        <w:gridCol w:w="403"/>
        <w:gridCol w:w="2002"/>
      </w:tblGrid>
      <w:tr>
        <w:tc>
          <w:tcPr>
            <w:tcW w:type="dxa" w:w="2002"/>
            <w:shd w:fill="EAF5F0"/>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Swing UI</w:t>
            </w:r>
          </w:p>
        </w:tc>
        <w:tc>
          <w:tcPr>
            <w:tcW w:type="dxa" w:w="403"/>
            <w:vAlign w:val="center"/>
            <w:tcMar>
              <w:top w:w="90" w:type="dxa"/>
              <w:start w:w="120" w:type="dxa"/>
              <w:bottom w:w="90" w:type="dxa"/>
              <w:end w:w="120" w:type="dxa"/>
            </w:tcMar>
          </w:tcPr>
          <w:p>
            <w:pPr>
              <w:spacing w:after="0" w:before="0" w:line="252" w:lineRule="auto"/>
              <w:jc w:val="center"/>
            </w:pPr>
            <w:r/>
            <w:r>
              <w:rPr>
                <w:rFonts w:ascii="Calibri" w:hAnsi="Calibri"/>
                <w:b/>
                <w:color w:val="2B6CB0"/>
                <w:sz w:val="24"/>
              </w:rPr>
              <w:t>-&gt;</w:t>
            </w:r>
          </w:p>
        </w:tc>
        <w:tc>
          <w:tcPr>
            <w:tcW w:type="dxa" w:w="2002"/>
            <w:shd w:fill="EEF4FB"/>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Services</w:t>
            </w:r>
          </w:p>
        </w:tc>
        <w:tc>
          <w:tcPr>
            <w:tcW w:type="dxa" w:w="403"/>
            <w:vAlign w:val="center"/>
            <w:tcMar>
              <w:top w:w="90" w:type="dxa"/>
              <w:start w:w="120" w:type="dxa"/>
              <w:bottom w:w="90" w:type="dxa"/>
              <w:end w:w="120" w:type="dxa"/>
            </w:tcMar>
          </w:tcPr>
          <w:p>
            <w:pPr>
              <w:spacing w:after="0" w:before="0" w:line="252" w:lineRule="auto"/>
              <w:jc w:val="center"/>
            </w:pPr>
            <w:r/>
            <w:r>
              <w:rPr>
                <w:rFonts w:ascii="Calibri" w:hAnsi="Calibri"/>
                <w:b/>
                <w:color w:val="2B6CB0"/>
                <w:sz w:val="24"/>
              </w:rPr>
              <w:t>-&gt;</w:t>
            </w:r>
          </w:p>
        </w:tc>
        <w:tc>
          <w:tcPr>
            <w:tcW w:type="dxa" w:w="2002"/>
            <w:shd w:fill="EAF5F0"/>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Repositories</w:t>
            </w:r>
          </w:p>
        </w:tc>
        <w:tc>
          <w:tcPr>
            <w:tcW w:type="dxa" w:w="403"/>
            <w:vAlign w:val="center"/>
            <w:tcMar>
              <w:top w:w="90" w:type="dxa"/>
              <w:start w:w="120" w:type="dxa"/>
              <w:bottom w:w="90" w:type="dxa"/>
              <w:end w:w="120" w:type="dxa"/>
            </w:tcMar>
          </w:tcPr>
          <w:p>
            <w:pPr>
              <w:spacing w:after="0" w:before="0" w:line="252" w:lineRule="auto"/>
              <w:jc w:val="center"/>
            </w:pPr>
            <w:r/>
            <w:r>
              <w:rPr>
                <w:rFonts w:ascii="Calibri" w:hAnsi="Calibri"/>
                <w:b/>
                <w:color w:val="2B6CB0"/>
                <w:sz w:val="24"/>
              </w:rPr>
              <w:t>-&gt;</w:t>
            </w:r>
          </w:p>
        </w:tc>
        <w:tc>
          <w:tcPr>
            <w:tcW w:type="dxa" w:w="2002"/>
            <w:shd w:fill="EEF4FB"/>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User workspace</w:t>
            </w:r>
          </w:p>
        </w:tc>
      </w:tr>
    </w:tbl>
    <w:p>
      <w:pPr>
        <w:spacing w:after="0"/>
      </w:pPr>
    </w:p>
    <w:p>
      <w:pPr>
        <w:spacing w:after="100" w:lineRule="auto" w:line="276"/>
        <w:jc w:val="both"/>
      </w:pPr>
      <w:r>
        <w:rPr>
          <w:rFonts w:ascii="Calibri" w:hAnsi="Calibri"/>
          <w:b w:val="0"/>
          <w:i w:val="0"/>
          <w:color w:val="1F2937"/>
          <w:sz w:val="21"/>
        </w:rPr>
        <w:t>The application entry point constructs repositories and services, opens authentication, then creates the finance frame for the verified session. Swing panels manage interaction and presentation; services implement use cases; validators protect domain rules; repositories parse and safely replace local CSV files. This separation keeps GUI classes away from direct file mutation and allows model and service behavior to run headlessly in tests.</w:t>
      </w:r>
    </w:p>
    <w:p>
      <w:pPr>
        <w:pStyle w:val="Heading2"/>
        <w:keepNext/>
      </w:pPr>
      <w:r>
        <w:t>Production layers</w:t>
      </w:r>
    </w:p>
    <w:tbl>
      <w:tblPr>
        <w:tblW w:type="dxa" w:w="9216"/>
        <w:jc w:val="center"/>
        <w:tblLayout w:type="fixed"/>
        <w:tblLook w:firstColumn="1" w:firstRow="1" w:lastColumn="0" w:lastRow="0" w:noHBand="0" w:noVBand="1" w:val="04A0"/>
      </w:tblPr>
      <w:tblGrid>
        <w:gridCol w:w="1944"/>
        <w:gridCol w:w="7272"/>
      </w:tblGrid>
      <w:tr>
        <w:trPr>
          <w:tblHeader w:val="true"/>
        </w:trPr>
        <w:tc>
          <w:tcPr>
            <w:tcW w:type="dxa" w:w="1944"/>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Layer</w:t>
            </w:r>
          </w:p>
        </w:tc>
        <w:tc>
          <w:tcPr>
            <w:tcW w:type="dxa" w:w="7272"/>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Responsibility and examples</w:t>
            </w:r>
          </w:p>
        </w:tc>
      </w:tr>
      <w:tr>
        <w:tc>
          <w:tcPr>
            <w:tcW w:type="dxa" w:w="194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Presentation</w:t>
            </w:r>
          </w:p>
        </w:tc>
        <w:tc>
          <w:tcPr>
            <w:tcW w:type="dxa" w:w="727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Swing frames, panels, dialogs, typed table models, listeners, renderers and Java2D charts</w:t>
            </w:r>
          </w:p>
        </w:tc>
      </w:tr>
      <w:tr>
        <w:tc>
          <w:tcPr>
            <w:tcW w:type="dxa" w:w="1944"/>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Domain</w:t>
            </w:r>
          </w:p>
        </w:tc>
        <w:tc>
          <w:tcPr>
            <w:tcW w:type="dxa" w:w="7272"/>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Transaction, Income, Expense, Transfer, Account, MonthlyBudget, RecurringEntry, SavingsGoal and Debt</w:t>
            </w:r>
          </w:p>
        </w:tc>
      </w:tr>
      <w:tr>
        <w:tc>
          <w:tcPr>
            <w:tcW w:type="dxa" w:w="194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Services</w:t>
            </w:r>
          </w:p>
        </w:tc>
        <w:tc>
          <w:tcPr>
            <w:tcW w:type="dxa" w:w="727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Finance calculations, reports, import/export, backup, recurring work, presentation data and authentication orchestration</w:t>
            </w:r>
          </w:p>
        </w:tc>
      </w:tr>
      <w:tr>
        <w:tc>
          <w:tcPr>
            <w:tcW w:type="dxa" w:w="1944"/>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Persistence</w:t>
            </w:r>
          </w:p>
        </w:tc>
        <w:tc>
          <w:tcPr>
            <w:tcW w:type="dxa" w:w="7272"/>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Project-local CSV repositories with validated parsing and same-directory safe replacement</w:t>
            </w:r>
          </w:p>
        </w:tc>
      </w:tr>
      <w:tr>
        <w:tc>
          <w:tcPr>
            <w:tcW w:type="dxa" w:w="194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OTP boundary</w:t>
            </w:r>
          </w:p>
        </w:tc>
        <w:tc>
          <w:tcPr>
            <w:tcW w:type="dxa" w:w="727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6"/>
              </w:rPr>
              <w:t>Desktop EmailVerificationGateway plus standalone Java relay for code lifecycle and Gmail STARTTLS delivery</w:t>
            </w:r>
          </w:p>
        </w:tc>
      </w:tr>
    </w:tbl>
    <w:p>
      <w:pPr>
        <w:spacing w:after="0"/>
      </w:pPr>
    </w:p>
    <w:p>
      <w:pPr>
        <w:pStyle w:val="Heading2"/>
        <w:keepNext/>
      </w:pPr>
      <w:r>
        <w:t>Portable, isolated storage</w:t>
      </w:r>
    </w:p>
    <w:tbl>
      <w:tblPr>
        <w:tblW w:type="auto" w:w="0"/>
        <w:jc w:val="center"/>
        <w:tblLayout w:type="fixed"/>
        <w:tblLook w:firstColumn="1" w:firstRow="1" w:lastColumn="0" w:lastRow="0" w:noHBand="0" w:noVBand="1" w:val="04A0"/>
      </w:tblPr>
      <w:tblGrid>
        <w:gridCol w:w="9288"/>
      </w:tblGrid>
      <w:tr>
        <w:tc>
          <w:tcPr>
            <w:tcW w:type="dxa" w:w="9468"/>
            <w:shd w:fill="F3F5F7"/>
            <w:tcBorders>
              <w:top w:val="single" w:sz="5" w:color="C9D1D9"/>
              <w:bottom w:val="single" w:sz="5" w:color="C9D1D9"/>
              <w:start w:val="single" w:sz="5" w:color="C9D1D9"/>
              <w:end w:val="single" w:sz="5" w:color="C9D1D9"/>
            </w:tcBorders>
            <w:tcMar>
              <w:top w:w="120" w:type="dxa"/>
              <w:start w:w="150" w:type="dxa"/>
              <w:bottom w:w="120" w:type="dxa"/>
              <w:end w:w="150" w:type="dxa"/>
            </w:tcMar>
          </w:tcPr>
          <w:p>
            <w:pPr>
              <w:spacing w:after="0" w:line="240" w:lineRule="auto"/>
            </w:pPr>
            <w:r>
              <w:rPr>
                <w:rFonts w:ascii="Consolas" w:hAnsi="Consolas"/>
                <w:b w:val="0"/>
                <w:i w:val="0"/>
                <w:color w:val="1F2937"/>
                <w:sz w:val="17"/>
              </w:rPr>
              <w:t>&lt;project-root&gt;/data/</w:t>
              <w:br/>
              <w:t xml:space="preserve">  auth/             local users and audit history</w:t>
              <w:br/>
              <w:t xml:space="preserve">  users/&lt;user-id&gt;/  isolated finance CSV workspace</w:t>
              <w:br/>
              <w:t xml:space="preserve">  backups/          application safety and user backups</w:t>
              <w:br/>
              <w:t xml:space="preserve">  settings/         migration decisions</w:t>
              <w:br/>
              <w:t xml:space="preserve">  presentation/     per-user sample-data manifests</w:t>
            </w:r>
          </w:p>
        </w:tc>
      </w:tr>
    </w:tbl>
    <w:p>
      <w:pPr>
        <w:spacing w:after="0"/>
      </w:pPr>
    </w:p>
    <w:p>
      <w:pPr>
        <w:spacing w:after="100" w:lineRule="auto" w:line="276"/>
        <w:jc w:val="both"/>
      </w:pPr>
      <w:r>
        <w:rPr>
          <w:rFonts w:ascii="Calibri" w:hAnsi="Calibri"/>
          <w:b w:val="0"/>
          <w:i w:val="0"/>
          <w:color w:val="1F2937"/>
          <w:sz w:val="21"/>
        </w:rPr>
        <w:t>AppPaths resolves and normalizes the project root, while authentication activates only a trusted generated user identifier. ProjectDataLock owns data/.wealthora.lock so a second process cannot write concurrently. Older OS application data is only an opt-in migration source: existing portable data blocks overwrite, staged files are validated and failed migration rolls back installed files.</w:t>
      </w:r>
    </w:p>
    <w:p>
      <w:pPr>
        <w:pStyle w:val="Heading2"/>
        <w:keepNext/>
      </w:pPr>
      <w:r>
        <w:t>Offline-first boundary</w:t>
      </w:r>
    </w:p>
    <w:p>
      <w:pPr>
        <w:spacing w:after="100" w:lineRule="auto" w:line="276"/>
        <w:jc w:val="both"/>
      </w:pPr>
      <w:r>
        <w:rPr>
          <w:rFonts w:ascii="Calibri" w:hAnsi="Calibri"/>
          <w:b w:val="0"/>
          <w:i w:val="0"/>
          <w:color w:val="1F2937"/>
          <w:sz w:val="21"/>
        </w:rPr>
        <w:t>Existing-user sign-in, finance CRUD, balances, budgets, analytics, reports, backup/import/export and recovery-question reset do not require the relay. Only explicit send, resend or verify actions use the configured loopback relay. Relay failure therefore produces an OTP-specific error while the finance application remains usable.</w:t>
      </w:r>
    </w:p>
    <w:p>
      <w:r>
        <w:br w:type="page"/>
      </w:r>
    </w:p>
    <w:p>
      <w:pPr>
        <w:pStyle w:val="Heading1"/>
        <w:keepNext/>
      </w:pPr>
      <w:r>
        <w:t>3. Object-oriented implementation</w:t>
      </w:r>
    </w:p>
    <w:p>
      <w:pPr>
        <w:spacing w:after="100" w:lineRule="auto" w:line="276"/>
        <w:jc w:val="both"/>
      </w:pPr>
      <w:r>
        <w:rPr>
          <w:rFonts w:ascii="Calibri" w:hAnsi="Calibri"/>
          <w:b w:val="0"/>
          <w:i w:val="0"/>
          <w:color w:val="1F2937"/>
          <w:sz w:val="21"/>
        </w:rPr>
        <w:t>The official OOP requirements are part of the real transaction, balance, export and JTable workflows. They are not disconnected demonstration classes.</w:t>
      </w:r>
    </w:p>
    <w:tbl>
      <w:tblPr>
        <w:tblW w:type="dxa" w:w="9216"/>
        <w:jc w:val="center"/>
        <w:tblLayout w:type="fixed"/>
        <w:tblLook w:firstColumn="1" w:firstRow="1" w:lastColumn="0" w:lastRow="0" w:noHBand="0" w:noVBand="1" w:val="04A0"/>
      </w:tblPr>
      <w:tblGrid>
        <w:gridCol w:w="1440"/>
        <w:gridCol w:w="2880"/>
        <w:gridCol w:w="3168"/>
        <w:gridCol w:w="1728"/>
      </w:tblGrid>
      <w:tr>
        <w:trPr>
          <w:tblHeader w:val="true"/>
        </w:trPr>
        <w:tc>
          <w:tcPr>
            <w:tcW w:type="dxa" w:w="1440"/>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Requirement</w:t>
            </w:r>
          </w:p>
        </w:tc>
        <w:tc>
          <w:tcPr>
            <w:tcW w:type="dxa" w:w="2880"/>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Production class / method</w:t>
            </w:r>
          </w:p>
        </w:tc>
        <w:tc>
          <w:tcPr>
            <w:tcW w:type="dxa" w:w="3168"/>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Application use</w:t>
            </w:r>
          </w:p>
        </w:tc>
        <w:tc>
          <w:tcPr>
            <w:tcW w:type="dxa" w:w="1728"/>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Automated evidence</w:t>
            </w:r>
          </w:p>
        </w:tc>
      </w:tr>
      <w:tr>
        <w:tc>
          <w:tcPr>
            <w:tcW w:type="dxa" w:w="144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Abstraction</w:t>
            </w:r>
          </w:p>
        </w:tc>
        <w:tc>
          <w:tcPr>
            <w:tcW w:type="dxa" w:w="288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abstract Transaction; calculateImpact()</w:t>
            </w:r>
          </w:p>
        </w:tc>
        <w:tc>
          <w:tcPr>
            <w:tcW w:type="dxa" w:w="3168"/>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FinanceService and ExportService consume Transaction references</w:t>
            </w:r>
          </w:p>
        </w:tc>
        <w:tc>
          <w:tcPr>
            <w:tcW w:type="dxa" w:w="1728"/>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FinanceModelTest</w:t>
            </w:r>
          </w:p>
        </w:tc>
      </w:tr>
      <w:tr>
        <w:tc>
          <w:tcPr>
            <w:tcW w:type="dxa" w:w="144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Inheritance</w:t>
            </w:r>
          </w:p>
        </w:tc>
        <w:tc>
          <w:tcPr>
            <w:tcW w:type="dxa" w:w="288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Income extends Transaction; Expense extends Transaction</w:t>
            </w:r>
          </w:p>
        </w:tc>
        <w:tc>
          <w:tcPr>
            <w:tcW w:type="dxa" w:w="3168"/>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Both reuse validated transaction state</w:t>
            </w:r>
          </w:p>
        </w:tc>
        <w:tc>
          <w:tcPr>
            <w:tcW w:type="dxa" w:w="1728"/>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FinanceModelTest</w:t>
            </w:r>
          </w:p>
        </w:tc>
      </w:tr>
      <w:tr>
        <w:tc>
          <w:tcPr>
            <w:tcW w:type="dxa" w:w="144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Polymorphism</w:t>
            </w:r>
          </w:p>
        </w:tc>
        <w:tc>
          <w:tcPr>
            <w:tcW w:type="dxa" w:w="288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Income: +amount; Expense: -amount</w:t>
            </w:r>
          </w:p>
        </w:tc>
        <w:tc>
          <w:tcPr>
            <w:tcW w:type="dxa" w:w="3168"/>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Balances, dashboard net flow and export call the override</w:t>
            </w:r>
          </w:p>
        </w:tc>
        <w:tc>
          <w:tcPr>
            <w:tcW w:type="dxa" w:w="1728"/>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FinanceModelTest; FinanceServiceTest</w:t>
            </w:r>
          </w:p>
        </w:tc>
      </w:tr>
      <w:tr>
        <w:tc>
          <w:tcPr>
            <w:tcW w:type="dxa" w:w="144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Encapsulation</w:t>
            </w:r>
          </w:p>
        </w:tc>
        <w:tc>
          <w:tcPr>
            <w:tcW w:type="dxa" w:w="288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private amount/date; final getters; validated update</w:t>
            </w:r>
          </w:p>
        </w:tc>
        <w:tc>
          <w:tcPr>
            <w:tcW w:type="dxa" w:w="3168"/>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Forms/services cannot assign state directly</w:t>
            </w:r>
          </w:p>
        </w:tc>
        <w:tc>
          <w:tcPr>
            <w:tcW w:type="dxa" w:w="1728"/>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ExpenseTest; FinanceModelTest</w:t>
            </w:r>
          </w:p>
        </w:tc>
      </w:tr>
      <w:tr>
        <w:tc>
          <w:tcPr>
            <w:tcW w:type="dxa" w:w="144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Interface</w:t>
            </w:r>
          </w:p>
        </w:tc>
        <w:tc>
          <w:tcPr>
            <w:tcW w:type="dxa" w:w="288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Exportable.generateCSV(); ExportService implements it</w:t>
            </w:r>
          </w:p>
        </w:tc>
        <w:tc>
          <w:tcPr>
            <w:tcW w:type="dxa" w:w="3168"/>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Data &gt; Export Transactions writes generated CSV</w:t>
            </w:r>
          </w:p>
        </w:tc>
        <w:tc>
          <w:tcPr>
            <w:tcW w:type="dxa" w:w="1728"/>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ExportServiceTest</w:t>
            </w:r>
          </w:p>
        </w:tc>
      </w:tr>
      <w:tr>
        <w:tc>
          <w:tcPr>
            <w:tcW w:type="dxa" w:w="144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Swing JTable</w:t>
            </w:r>
          </w:p>
        </w:tc>
        <w:tc>
          <w:tcPr>
            <w:tcW w:type="dxa" w:w="288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TransactionTableModel + StyledTable</w:t>
            </w:r>
          </w:p>
        </w:tc>
        <w:tc>
          <w:tcPr>
            <w:tcW w:type="dxa" w:w="3168"/>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Transactions/Overview display production finance rows</w:t>
            </w:r>
          </w:p>
        </w:tc>
        <w:tc>
          <w:tcPr>
            <w:tcW w:type="dxa" w:w="1728"/>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SwingFoundationTest; GUI smoke</w:t>
            </w:r>
          </w:p>
        </w:tc>
      </w:tr>
    </w:tbl>
    <w:p>
      <w:pPr>
        <w:spacing w:after="0"/>
      </w:pPr>
    </w:p>
    <w:p>
      <w:pPr>
        <w:pStyle w:val="Heading2"/>
        <w:keepNext/>
      </w:pPr>
      <w:r>
        <w:t>Polymorphic impact path</w:t>
      </w:r>
    </w:p>
    <w:tbl>
      <w:tblPr>
        <w:tblW w:type="auto" w:w="0"/>
        <w:jc w:val="center"/>
        <w:tblLayout w:type="fixed"/>
        <w:tblLook w:firstColumn="1" w:firstRow="1" w:lastColumn="0" w:lastRow="0" w:noHBand="0" w:noVBand="1" w:val="04A0"/>
      </w:tblPr>
      <w:tblGrid>
        <w:gridCol w:w="9288"/>
      </w:tblGrid>
      <w:tr>
        <w:tc>
          <w:tcPr>
            <w:tcW w:type="dxa" w:w="9468"/>
            <w:shd w:fill="F3F5F7"/>
            <w:tcBorders>
              <w:top w:val="single" w:sz="5" w:color="C9D1D9"/>
              <w:bottom w:val="single" w:sz="5" w:color="C9D1D9"/>
              <w:start w:val="single" w:sz="5" w:color="C9D1D9"/>
              <w:end w:val="single" w:sz="5" w:color="C9D1D9"/>
            </w:tcBorders>
            <w:tcMar>
              <w:top w:w="120" w:type="dxa"/>
              <w:start w:w="150" w:type="dxa"/>
              <w:bottom w:w="120" w:type="dxa"/>
              <w:end w:w="150" w:type="dxa"/>
            </w:tcMar>
          </w:tcPr>
          <w:p>
            <w:pPr>
              <w:spacing w:after="0" w:line="240" w:lineRule="auto"/>
            </w:pPr>
            <w:r>
              <w:rPr>
                <w:rFonts w:ascii="Consolas" w:hAnsi="Consolas"/>
                <w:b w:val="0"/>
                <w:i w:val="0"/>
                <w:color w:val="1F2937"/>
                <w:sz w:val="17"/>
              </w:rPr>
              <w:t>Transaction income  -&gt; Income.calculateImpact()  -&gt; +amount</w:t>
              <w:br/>
              <w:t>Transaction expense -&gt; Expense.calculateImpact() -&gt; -amount</w:t>
              <w:br/>
              <w:t>FinanceService.calculateBalances():</w:t>
              <w:br/>
              <w:t xml:space="preserve">  for (Transaction item : getAllTransactions())</w:t>
              <w:br/>
              <w:t xml:space="preserve">      apply(balance, item.getAccount(), item.calculateImpact())</w:t>
            </w:r>
          </w:p>
        </w:tc>
      </w:tr>
    </w:tbl>
    <w:p>
      <w:pPr>
        <w:spacing w:after="0"/>
      </w:pPr>
    </w:p>
    <w:p>
      <w:pPr>
        <w:spacing w:after="100" w:lineRule="auto" w:line="276"/>
        <w:jc w:val="both"/>
      </w:pPr>
      <w:r>
        <w:rPr>
          <w:rFonts w:ascii="Calibri" w:hAnsi="Calibri"/>
          <w:b w:val="0"/>
          <w:i w:val="0"/>
          <w:color w:val="1F2937"/>
          <w:sz w:val="21"/>
        </w:rPr>
        <w:t>Transaction keeps amount and LocalDate private. Both are accessed through final getters; BigDecimal and LocalDate are immutable. Tags are copied with List.copyOf. Constructors validate identifiers, positive amounts, posted dates, accounts, categories and text. Expense validates every proposed update before changing shared state, so a failed edit leaves the previous object intact.</w:t>
      </w:r>
    </w:p>
    <w:p>
      <w:pPr>
        <w:pStyle w:val="Heading2"/>
        <w:keepNext/>
      </w:pPr>
      <w:r>
        <w:t>Functional export and table path</w:t>
      </w:r>
    </w:p>
    <w:tbl>
      <w:tblPr>
        <w:tblW w:type="dxa" w:w="9217"/>
        <w:jc w:val="center"/>
        <w:tblLayout w:type="fixed"/>
        <w:tblLook w:firstColumn="1" w:firstRow="1" w:lastColumn="0" w:lastRow="0" w:noHBand="0" w:noVBand="1" w:val="04A0"/>
      </w:tblPr>
      <w:tblGrid>
        <w:gridCol w:w="2002"/>
        <w:gridCol w:w="403"/>
        <w:gridCol w:w="2002"/>
        <w:gridCol w:w="403"/>
        <w:gridCol w:w="2002"/>
        <w:gridCol w:w="403"/>
        <w:gridCol w:w="2002"/>
      </w:tblGrid>
      <w:tr>
        <w:tc>
          <w:tcPr>
            <w:tcW w:type="dxa" w:w="2002"/>
            <w:shd w:fill="EAF5F0"/>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Data menu</w:t>
            </w:r>
          </w:p>
        </w:tc>
        <w:tc>
          <w:tcPr>
            <w:tcW w:type="dxa" w:w="403"/>
            <w:vAlign w:val="center"/>
            <w:tcMar>
              <w:top w:w="90" w:type="dxa"/>
              <w:start w:w="120" w:type="dxa"/>
              <w:bottom w:w="90" w:type="dxa"/>
              <w:end w:w="120" w:type="dxa"/>
            </w:tcMar>
          </w:tcPr>
          <w:p>
            <w:pPr>
              <w:spacing w:after="0" w:before="0" w:line="252" w:lineRule="auto"/>
              <w:jc w:val="center"/>
            </w:pPr>
            <w:r/>
            <w:r>
              <w:rPr>
                <w:rFonts w:ascii="Calibri" w:hAnsi="Calibri"/>
                <w:b/>
                <w:color w:val="2B6CB0"/>
                <w:sz w:val="24"/>
              </w:rPr>
              <w:t>-&gt;</w:t>
            </w:r>
          </w:p>
        </w:tc>
        <w:tc>
          <w:tcPr>
            <w:tcW w:type="dxa" w:w="2002"/>
            <w:shd w:fill="EEF4FB"/>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exportTransactions</w:t>
            </w:r>
          </w:p>
        </w:tc>
        <w:tc>
          <w:tcPr>
            <w:tcW w:type="dxa" w:w="403"/>
            <w:vAlign w:val="center"/>
            <w:tcMar>
              <w:top w:w="90" w:type="dxa"/>
              <w:start w:w="120" w:type="dxa"/>
              <w:bottom w:w="90" w:type="dxa"/>
              <w:end w:w="120" w:type="dxa"/>
            </w:tcMar>
          </w:tcPr>
          <w:p>
            <w:pPr>
              <w:spacing w:after="0" w:before="0" w:line="252" w:lineRule="auto"/>
              <w:jc w:val="center"/>
            </w:pPr>
            <w:r/>
            <w:r>
              <w:rPr>
                <w:rFonts w:ascii="Calibri" w:hAnsi="Calibri"/>
                <w:b/>
                <w:color w:val="2B6CB0"/>
                <w:sz w:val="24"/>
              </w:rPr>
              <w:t>-&gt;</w:t>
            </w:r>
          </w:p>
        </w:tc>
        <w:tc>
          <w:tcPr>
            <w:tcW w:type="dxa" w:w="2002"/>
            <w:shd w:fill="EAF5F0"/>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generateCSV</w:t>
            </w:r>
          </w:p>
        </w:tc>
        <w:tc>
          <w:tcPr>
            <w:tcW w:type="dxa" w:w="403"/>
            <w:vAlign w:val="center"/>
            <w:tcMar>
              <w:top w:w="90" w:type="dxa"/>
              <w:start w:w="120" w:type="dxa"/>
              <w:bottom w:w="90" w:type="dxa"/>
              <w:end w:w="120" w:type="dxa"/>
            </w:tcMar>
          </w:tcPr>
          <w:p>
            <w:pPr>
              <w:spacing w:after="0" w:before="0" w:line="252" w:lineRule="auto"/>
              <w:jc w:val="center"/>
            </w:pPr>
            <w:r/>
            <w:r>
              <w:rPr>
                <w:rFonts w:ascii="Calibri" w:hAnsi="Calibri"/>
                <w:b/>
                <w:color w:val="2B6CB0"/>
                <w:sz w:val="24"/>
              </w:rPr>
              <w:t>-&gt;</w:t>
            </w:r>
          </w:p>
        </w:tc>
        <w:tc>
          <w:tcPr>
            <w:tcW w:type="dxa" w:w="2002"/>
            <w:shd w:fill="EEF4FB"/>
            <w:vAlign w:val="center"/>
            <w:tcMar>
              <w:top w:w="90" w:type="dxa"/>
              <w:start w:w="120" w:type="dxa"/>
              <w:bottom w:w="90" w:type="dxa"/>
              <w:end w:w="120" w:type="dxa"/>
            </w:tcMar>
            <w:tcBorders>
              <w:top w:val="single" w:sz="5" w:color="16785B"/>
              <w:bottom w:val="single" w:sz="5" w:color="16785B"/>
              <w:start w:val="single" w:sz="5" w:color="16785B"/>
              <w:end w:val="single" w:sz="5" w:color="16785B"/>
            </w:tcBorders>
          </w:tcPr>
          <w:p>
            <w:pPr>
              <w:spacing w:after="0" w:before="0" w:line="252" w:lineRule="auto"/>
              <w:jc w:val="center"/>
            </w:pPr>
            <w:r/>
            <w:r>
              <w:rPr>
                <w:rFonts w:ascii="Calibri" w:hAnsi="Calibri"/>
                <w:b/>
                <w:color w:val="0F5F49"/>
                <w:sz w:val="17"/>
              </w:rPr>
              <w:t>UTF-8 file</w:t>
            </w:r>
          </w:p>
        </w:tc>
      </w:tr>
    </w:tbl>
    <w:p>
      <w:pPr>
        <w:spacing w:after="0"/>
      </w:pPr>
    </w:p>
    <w:p>
      <w:pPr>
        <w:spacing w:after="100" w:lineRule="auto" w:line="276"/>
        <w:jc w:val="both"/>
      </w:pPr>
      <w:r>
        <w:rPr>
          <w:rFonts w:ascii="Calibri" w:hAnsi="Calibri"/>
          <w:b w:val="0"/>
          <w:i w:val="0"/>
          <w:color w:val="1F2937"/>
          <w:sz w:val="21"/>
        </w:rPr>
        <w:t>The GUI receives ExportService from the application wiring. exportTransactions() calls generateCSV(), sorts the production Transaction list and writes type, amount, signed impact, category, account and note with CSV escaping. The same Income and Expense objects are converted into TransactionRow values for the typed JTable. Tests compare generated and written CSV content and confirm export does not mutate repositories.</w:t>
      </w:r>
    </w:p>
    <w:p>
      <w:r>
        <w:br w:type="page"/>
      </w:r>
    </w:p>
    <w:p>
      <w:pPr>
        <w:pStyle w:val="Heading1"/>
        <w:keepNext/>
      </w:pPr>
      <w:r>
        <w:t>4. GUI, security, testing and validation</w:t>
      </w:r>
    </w:p>
    <w:p>
      <w:pPr>
        <w:pStyle w:val="Heading2"/>
        <w:keepNext/>
      </w:pPr>
      <w:r>
        <w:t>Swing workflow</w:t>
      </w:r>
    </w:p>
    <w:p>
      <w:pPr>
        <w:spacing w:after="100" w:lineRule="auto" w:line="276"/>
        <w:jc w:val="both"/>
      </w:pPr>
      <w:r>
        <w:rPr>
          <w:rFonts w:ascii="Calibri" w:hAnsi="Calibri"/>
          <w:b w:val="0"/>
          <w:i w:val="0"/>
          <w:color w:val="1F2937"/>
          <w:sz w:val="21"/>
        </w:rPr>
        <w:t>The main frame provides Dashboard, Transactions, Finance, Budgets, Recurring, Calendar, Planning, Reports, Settings, Profile and Data Management navigation. The transaction JTable supports typed columns, search, account/category/type/date filters, sorting, selection, edit and delete confirmation. Sanitized manual flows covered finance CRUD, totals, transfers, budgets, analytics, presentation data, successful import/export, deletion, restart persistence, user isolation and the exclusive-lock warning.</w:t>
      </w:r>
    </w:p>
    <w:p>
      <w:pPr>
        <w:pStyle w:val="Heading2"/>
        <w:keepNext/>
      </w:pPr>
      <w:r>
        <w:t>Authentication and OTP controls</w:t>
      </w:r>
    </w:p>
    <w:tbl>
      <w:tblPr>
        <w:tblW w:type="dxa" w:w="9216"/>
        <w:jc w:val="center"/>
        <w:tblLayout w:type="fixed"/>
        <w:tblLook w:firstColumn="1" w:firstRow="1" w:lastColumn="0" w:lastRow="0" w:noHBand="0" w:noVBand="1" w:val="04A0"/>
      </w:tblPr>
      <w:tblGrid>
        <w:gridCol w:w="1872"/>
        <w:gridCol w:w="7344"/>
      </w:tblGrid>
      <w:tr>
        <w:trPr>
          <w:tblHeader w:val="true"/>
        </w:trPr>
        <w:tc>
          <w:tcPr>
            <w:tcW w:type="dxa" w:w="1872"/>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Control</w:t>
            </w:r>
          </w:p>
        </w:tc>
        <w:tc>
          <w:tcPr>
            <w:tcW w:type="dxa" w:w="7344"/>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Verified implementation</w:t>
            </w:r>
          </w:p>
        </w:tc>
      </w:tr>
      <w:tr>
        <w:tc>
          <w:tcPr>
            <w:tcW w:type="dxa" w:w="187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Local credentials</w:t>
            </w:r>
          </w:p>
        </w:tc>
        <w:tc>
          <w:tcPr>
            <w:tcW w:type="dxa" w:w="734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BCrypt over SHA-256 pre-hash; no plaintext password or recovery answer is persisted</w:t>
            </w:r>
          </w:p>
        </w:tc>
      </w:tr>
      <w:tr>
        <w:tc>
          <w:tcPr>
            <w:tcW w:type="dxa" w:w="1872"/>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Registration</w:t>
            </w:r>
          </w:p>
        </w:tc>
        <w:tc>
          <w:tcPr>
            <w:tcW w:type="dxa" w:w="7344"/>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No user or workspace is saved before successful REGISTRATION verification</w:t>
            </w:r>
          </w:p>
        </w:tc>
      </w:tr>
      <w:tr>
        <w:tc>
          <w:tcPr>
            <w:tcW w:type="dxa" w:w="187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OTP lifecycle</w:t>
            </w:r>
          </w:p>
        </w:tc>
        <w:tc>
          <w:tcPr>
            <w:tcW w:type="dxa" w:w="734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Six digits; 10-minute expiry; 60-second cooldown; five attempts; latest code only; replay protection</w:t>
            </w:r>
          </w:p>
        </w:tc>
      </w:tr>
      <w:tr>
        <w:tc>
          <w:tcPr>
            <w:tcW w:type="dxa" w:w="1872"/>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Binding / limits</w:t>
            </w:r>
          </w:p>
        </w:tc>
        <w:tc>
          <w:tcPr>
            <w:tcW w:type="dxa" w:w="7344"/>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Challenge bound to normalized @northsouth.edu email and purpose; email/IP rate limits</w:t>
            </w:r>
          </w:p>
        </w:tc>
      </w:tr>
      <w:tr>
        <w:tc>
          <w:tcPr>
            <w:tcW w:type="dxa" w:w="187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Email format</w:t>
            </w:r>
          </w:p>
        </w:tc>
        <w:tc>
          <w:tcPr>
            <w:tcW w:type="dxa" w:w="734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UTF-8 multipart/alternative with plain fallback and branded responsive HTML; code absent from subject/logs</w:t>
            </w:r>
          </w:p>
        </w:tc>
      </w:tr>
      <w:tr>
        <w:tc>
          <w:tcPr>
            <w:tcW w:type="dxa" w:w="1872"/>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Offline recovery</w:t>
            </w:r>
          </w:p>
        </w:tc>
        <w:tc>
          <w:tcPr>
            <w:tcW w:type="dxa" w:w="7344"/>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Protected local recovery question remains independent of email delivery</w:t>
            </w:r>
          </w:p>
        </w:tc>
      </w:tr>
      <w:tr>
        <w:tc>
          <w:tcPr>
            <w:tcW w:type="dxa" w:w="1872"/>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One-click setup</w:t>
            </w:r>
          </w:p>
        </w:tc>
        <w:tc>
          <w:tcPr>
            <w:tcW w:type="dxa" w:w="7344"/>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5"/>
              </w:rPr>
              <w:t>Gmail/App Password and signing secret remain outside Git as Windows DPAPI CurrentUser ciphertext</w:t>
            </w:r>
          </w:p>
        </w:tc>
      </w:tr>
    </w:tbl>
    <w:p>
      <w:pPr>
        <w:spacing w:after="0"/>
      </w:pPr>
    </w:p>
    <w:p>
      <w:pPr>
        <w:pStyle w:val="Heading2"/>
        <w:keepNext/>
      </w:pPr>
      <w:r>
        <w:t>Final verification evidence</w:t>
      </w:r>
    </w:p>
    <w:tbl>
      <w:tblPr>
        <w:tblW w:type="dxa" w:w="9216"/>
        <w:jc w:val="center"/>
        <w:tblLayout w:type="fixed"/>
        <w:tblLook w:firstColumn="1" w:firstRow="1" w:lastColumn="0" w:lastRow="0" w:noHBand="0" w:noVBand="1" w:val="04A0"/>
      </w:tblPr>
      <w:tblGrid>
        <w:gridCol w:w="2304"/>
        <w:gridCol w:w="2304"/>
        <w:gridCol w:w="2304"/>
        <w:gridCol w:w="2304"/>
      </w:tblGrid>
      <w:tr>
        <w:tc>
          <w:tcPr>
            <w:tcW w:type="dxa" w:w="2304"/>
            <w:shd w:fill="EAF5F0"/>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47 / 47</w:t>
            </w:r>
          </w:p>
          <w:p>
            <w:pPr>
              <w:spacing w:after="0"/>
              <w:jc w:val="center"/>
            </w:pPr>
            <w:r>
              <w:rPr>
                <w:rFonts w:ascii="Calibri" w:hAnsi="Calibri"/>
                <w:b/>
                <w:i w:val="0"/>
                <w:color w:val="5B6573"/>
                <w:sz w:val="17"/>
              </w:rPr>
              <w:t>JAVA ENTRY POINTS</w:t>
            </w:r>
          </w:p>
        </w:tc>
        <w:tc>
          <w:tcPr>
            <w:tcW w:type="dxa" w:w="2304"/>
            <w:shd w:fill="EEF4FB"/>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PASS</w:t>
            </w:r>
          </w:p>
          <w:p>
            <w:pPr>
              <w:spacing w:after="0"/>
              <w:jc w:val="center"/>
            </w:pPr>
            <w:r>
              <w:rPr>
                <w:rFonts w:ascii="Calibri" w:hAnsi="Calibri"/>
                <w:b/>
                <w:i w:val="0"/>
                <w:color w:val="5B6573"/>
                <w:sz w:val="17"/>
              </w:rPr>
              <w:t>LAUNCHER / DPAPI</w:t>
            </w:r>
          </w:p>
        </w:tc>
        <w:tc>
          <w:tcPr>
            <w:tcW w:type="dxa" w:w="2304"/>
            <w:shd w:fill="EAF5F0"/>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PASS</w:t>
            </w:r>
          </w:p>
          <w:p>
            <w:pPr>
              <w:spacing w:after="0"/>
              <w:jc w:val="center"/>
            </w:pPr>
            <w:r>
              <w:rPr>
                <w:rFonts w:ascii="Calibri" w:hAnsi="Calibri"/>
                <w:b/>
                <w:i w:val="0"/>
                <w:color w:val="5B6573"/>
                <w:sz w:val="17"/>
              </w:rPr>
              <w:t>CREATE + RESET EMAIL</w:t>
            </w:r>
          </w:p>
        </w:tc>
        <w:tc>
          <w:tcPr>
            <w:tcW w:type="dxa" w:w="2304"/>
            <w:shd w:fill="EEF4FB"/>
            <w:tcBorders>
              <w:top w:val="single" w:sz="5" w:color="C9D1D9"/>
              <w:bottom w:val="single" w:sz="5" w:color="C9D1D9"/>
              <w:start w:val="single" w:sz="5" w:color="C9D1D9"/>
              <w:end w:val="single" w:sz="5" w:color="C9D1D9"/>
            </w:tcBorders>
            <w:tcMar>
              <w:top w:w="150" w:type="dxa"/>
              <w:start w:w="90" w:type="dxa"/>
              <w:bottom w:w="140" w:type="dxa"/>
              <w:end w:w="90" w:type="dxa"/>
            </w:tcMar>
          </w:tcPr>
          <w:p>
            <w:pPr>
              <w:spacing w:after="40"/>
              <w:jc w:val="center"/>
            </w:pPr>
            <w:r>
              <w:rPr>
                <w:rFonts w:ascii="Calibri" w:hAnsi="Calibri"/>
                <w:b/>
                <w:i w:val="0"/>
                <w:color w:val="0F5F49"/>
                <w:sz w:val="40"/>
              </w:rPr>
              <w:t>PASS</w:t>
            </w:r>
          </w:p>
          <w:p>
            <w:pPr>
              <w:spacing w:after="0"/>
              <w:jc w:val="center"/>
            </w:pPr>
            <w:r>
              <w:rPr>
                <w:rFonts w:ascii="Calibri" w:hAnsi="Calibri"/>
                <w:b/>
                <w:i w:val="0"/>
                <w:color w:val="5B6573"/>
                <w:sz w:val="17"/>
              </w:rPr>
              <w:t>BUILD + 2 JARS</w:t>
            </w:r>
          </w:p>
        </w:tc>
      </w:tr>
    </w:tbl>
    <w:p>
      <w:pPr>
        <w:spacing w:after="0"/>
      </w:pPr>
    </w:p>
    <w:p>
      <w:pPr>
        <w:spacing w:after="100" w:lineRule="auto" w:line="276"/>
        <w:jc w:val="both"/>
      </w:pPr>
      <w:r>
        <w:rPr>
          <w:rFonts w:ascii="Calibri" w:hAnsi="Calibri"/>
          <w:b w:val="0"/>
          <w:i w:val="0"/>
          <w:color w:val="1F2937"/>
          <w:sz w:val="21"/>
        </w:rPr>
        <w:t>Using Apache Ant 1.10.17 and Java/Javac 25.0.4, ant clean test-quality jar completed with BUILD SUCCESSFUL. It compiled 265 production and 48 test source files, executed all 47 normal quality-chain entry points, included OTP relay lifecycle/template checks and rebuilt both JARs. Manual evidence confirms branded Create Account and Forgot Password Gmail layouts, resend/older-code rejection, password changes, protected offline recovery, persistence, two-user isolation, relay-unavailable messaging and lock presentation.</w:t>
      </w:r>
    </w:p>
    <w:p>
      <w:pPr>
        <w:pStyle w:val="Heading2"/>
        <w:keepNext/>
      </w:pPr>
      <w:r>
        <w:t>Build and run</w:t>
      </w:r>
    </w:p>
    <w:tbl>
      <w:tblPr>
        <w:tblW w:type="auto" w:w="0"/>
        <w:jc w:val="center"/>
        <w:tblLayout w:type="fixed"/>
        <w:tblLook w:firstColumn="1" w:firstRow="1" w:lastColumn="0" w:lastRow="0" w:noHBand="0" w:noVBand="1" w:val="04A0"/>
      </w:tblPr>
      <w:tblGrid>
        <w:gridCol w:w="9288"/>
      </w:tblGrid>
      <w:tr>
        <w:tc>
          <w:tcPr>
            <w:tcW w:type="dxa" w:w="9468"/>
            <w:shd w:fill="F3F5F7"/>
            <w:tcBorders>
              <w:top w:val="single" w:sz="5" w:color="C9D1D9"/>
              <w:bottom w:val="single" w:sz="5" w:color="C9D1D9"/>
              <w:start w:val="single" w:sz="5" w:color="C9D1D9"/>
              <w:end w:val="single" w:sz="5" w:color="C9D1D9"/>
            </w:tcBorders>
            <w:tcMar>
              <w:top w:w="120" w:type="dxa"/>
              <w:start w:w="150" w:type="dxa"/>
              <w:bottom w:w="120" w:type="dxa"/>
              <w:end w:w="150" w:type="dxa"/>
            </w:tcMar>
          </w:tcPr>
          <w:p>
            <w:pPr>
              <w:spacing w:after="0" w:line="240" w:lineRule="auto"/>
            </w:pPr>
            <w:r>
              <w:rPr>
                <w:rFonts w:ascii="Consolas" w:hAnsi="Consolas"/>
                <w:b w:val="0"/>
                <w:i w:val="0"/>
                <w:color w:val="1F2937"/>
                <w:sz w:val="17"/>
              </w:rPr>
              <w:t>ant clean test-quality jar</w:t>
              <w:br/>
              <w:t>java -jar dist\Wealthora.jar</w:t>
            </w:r>
          </w:p>
        </w:tc>
      </w:tr>
    </w:tbl>
    <w:p>
      <w:pPr>
        <w:spacing w:after="0"/>
      </w:pPr>
    </w:p>
    <w:p>
      <w:pPr>
        <w:spacing w:after="100" w:lineRule="auto" w:line="276"/>
        <w:jc w:val="both"/>
      </w:pPr>
      <w:r>
        <w:rPr>
          <w:rFonts w:ascii="Calibri" w:hAnsi="Calibri"/>
          <w:b w:val="0"/>
          <w:i w:val="0"/>
          <w:color w:val="1F2937"/>
          <w:sz w:val="21"/>
        </w:rPr>
        <w:t>Windows demo: configure once with Configure Wealthora OTP.cmd, then use Start Wealthora.cmd. For NetBeans F6, keep Start OTP Relay for NetBeans.cmd open. The private persistence gate confirmed both launch paths reuse the saved encrypted configuration without another credential prompt.</w:t>
      </w:r>
    </w:p>
    <w:p>
      <w:r>
        <w:br w:type="page"/>
      </w:r>
    </w:p>
    <w:p>
      <w:pPr>
        <w:pStyle w:val="Heading1"/>
        <w:keepNext/>
      </w:pPr>
      <w:r>
        <w:t>5. Conclusion, contributions and future scope</w:t>
      </w:r>
    </w:p>
    <w:p>
      <w:pPr>
        <w:pStyle w:val="Heading2"/>
        <w:keepNext/>
      </w:pPr>
      <w:r>
        <w:t>Conclusion</w:t>
      </w:r>
    </w:p>
    <w:p>
      <w:pPr>
        <w:spacing w:after="100" w:lineRule="auto" w:line="276"/>
        <w:jc w:val="both"/>
      </w:pPr>
      <w:r>
        <w:rPr>
          <w:rFonts w:ascii="Calibri" w:hAnsi="Calibri"/>
          <w:b w:val="0"/>
          <w:i w:val="0"/>
          <w:color w:val="1F2937"/>
          <w:sz w:val="21"/>
        </w:rPr>
        <w:t>Wealthora satisfies the CSE 215 Personal Expense Tracker objective as a substantial Java Swing application. Required OOP concepts drive production transaction calculations, CSV export and JTable presentation. The local/offline-first boundary keeps finance records inside isolated user workspaces, while the separately configured relay adds verified email ownership and password reset without receiving passwords or finance data. The final verified release has no known functional blocker.</w:t>
      </w:r>
    </w:p>
    <w:p>
      <w:pPr>
        <w:pStyle w:val="Heading2"/>
        <w:keepNext/>
      </w:pPr>
      <w:r>
        <w:t>Team contributions</w:t>
      </w:r>
    </w:p>
    <w:tbl>
      <w:tblPr>
        <w:tblW w:type="dxa" w:w="9216"/>
        <w:jc w:val="center"/>
        <w:tblLayout w:type="fixed"/>
        <w:tblLook w:firstColumn="1" w:firstRow="1" w:lastColumn="0" w:lastRow="0" w:noHBand="0" w:noVBand="1" w:val="04A0"/>
      </w:tblPr>
      <w:tblGrid>
        <w:gridCol w:w="2520"/>
        <w:gridCol w:w="6696"/>
      </w:tblGrid>
      <w:tr>
        <w:trPr>
          <w:tblHeader w:val="true"/>
        </w:trPr>
        <w:tc>
          <w:tcPr>
            <w:tcW w:type="dxa" w:w="2520"/>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Member</w:t>
            </w:r>
          </w:p>
        </w:tc>
        <w:tc>
          <w:tcPr>
            <w:tcW w:type="dxa" w:w="6696"/>
            <w:shd w:fill="0F5F4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color w:val="FFFFFF"/>
                <w:sz w:val="18"/>
              </w:rPr>
              <w:t>Final allocation</w:t>
            </w:r>
          </w:p>
        </w:tc>
      </w:tr>
      <w:tr>
        <w:tc>
          <w:tcPr>
            <w:tcW w:type="dxa" w:w="252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Shibli Rahman Moon</w:t>
              <w:br/>
              <w:t>2534187012</w:t>
            </w:r>
          </w:p>
        </w:tc>
        <w:tc>
          <w:tcPr>
            <w:tcW w:type="dxa" w:w="6696"/>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Project Lead, System Design &amp; Integration: professional UI/dashboard; authentication and email OTP; password recovery; multi-user integration; overall integration; QA and 47/47 verification; final build; documentation coordination; presentation/live-demo preparation</w:t>
            </w:r>
          </w:p>
        </w:tc>
      </w:tr>
      <w:tr>
        <w:tc>
          <w:tcPr>
            <w:tcW w:type="dxa" w:w="2520"/>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Md. Nafij Jaman Rabbi</w:t>
              <w:br/>
              <w:t>2513403642</w:t>
            </w:r>
          </w:p>
        </w:tc>
        <w:tc>
          <w:tcPr>
            <w:tcW w:type="dxa" w:w="6696"/>
            <w:shd w:fill="F7FAF9"/>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Core Finance Modules: accounts; income/expense; transfers; budgets; goals; debt management; finance validation; related functional testing</w:t>
            </w:r>
          </w:p>
        </w:tc>
      </w:tr>
      <w:tr>
        <w:tc>
          <w:tcPr>
            <w:tcW w:type="dxa" w:w="2520"/>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Md. Monimul Haque</w:t>
              <w:br/>
              <w:t>1821781042</w:t>
            </w:r>
          </w:p>
        </w:tc>
        <w:tc>
          <w:tcPr>
            <w:tcW w:type="dxa" w:w="6696"/>
            <w:vAlign w:val="center"/>
            <w:tcMar>
              <w:top w:w="90" w:type="dxa"/>
              <w:start w:w="120" w:type="dxa"/>
              <w:bottom w:w="90" w:type="dxa"/>
              <w:end w:w="120" w:type="dxa"/>
            </w:tcMar>
            <w:tcBorders>
              <w:top w:val="single" w:sz="4" w:color="C9D1D9"/>
              <w:bottom w:val="single" w:sz="4" w:color="C9D1D9"/>
              <w:start w:val="single" w:sz="4" w:color="C9D1D9"/>
              <w:end w:val="single" w:sz="4" w:color="C9D1D9"/>
            </w:tcBorders>
          </w:tcPr>
          <w:p>
            <w:pPr>
              <w:spacing w:after="0" w:before="0" w:line="252" w:lineRule="auto"/>
              <w:jc w:val="left"/>
            </w:pPr>
            <w:r/>
            <w:r>
              <w:rPr>
                <w:rFonts w:ascii="Calibri" w:hAnsi="Calibri"/>
                <w:b w:val="0"/>
                <w:color w:val="1F2937"/>
                <w:sz w:val="14"/>
              </w:rPr>
              <w:t>Reports &amp; Productivity Modules: reports; recurring transactions; calendar; import/export; backup/restore; demo-data support; related testing</w:t>
            </w:r>
          </w:p>
        </w:tc>
      </w:tr>
    </w:tbl>
    <w:p>
      <w:pPr>
        <w:spacing w:after="0"/>
      </w:pPr>
    </w:p>
    <w:p>
      <w:pPr>
        <w:pStyle w:val="Heading2"/>
        <w:keepNext/>
      </w:pPr>
      <w:r>
        <w:t>Limitations</w:t>
      </w:r>
    </w:p>
    <w:p>
      <w:pPr>
        <w:pStyle w:val="ListBullet"/>
        <w:spacing w:after="60" w:line="259" w:lineRule="auto"/>
        <w:ind w:left="346" w:hanging="230"/>
      </w:pPr>
      <w:r>
        <w:rPr>
          <w:rFonts w:ascii="Calibri" w:hAnsi="Calibri"/>
          <w:b w:val="0"/>
          <w:i w:val="0"/>
          <w:color w:val="1F2937"/>
          <w:sz w:val="20"/>
        </w:rPr>
        <w:t>Finance data is intentionally local to one project copy; cross-device synchronization is not implemented.</w:t>
      </w:r>
    </w:p>
    <w:p>
      <w:pPr>
        <w:pStyle w:val="ListBullet"/>
        <w:spacing w:after="60" w:line="259" w:lineRule="auto"/>
        <w:ind w:left="346" w:hanging="230"/>
      </w:pPr>
      <w:r>
        <w:rPr>
          <w:rFonts w:ascii="Calibri" w:hAnsi="Calibri"/>
          <w:b w:val="0"/>
          <w:i w:val="0"/>
          <w:color w:val="1F2937"/>
          <w:sz w:val="20"/>
        </w:rPr>
        <w:t>Relay restart invalidates pending in-memory challenges; the current design targets one local/demo instance.</w:t>
      </w:r>
    </w:p>
    <w:p>
      <w:pPr>
        <w:pStyle w:val="ListBullet"/>
        <w:spacing w:after="60" w:line="259" w:lineRule="auto"/>
        <w:ind w:left="346" w:hanging="230"/>
      </w:pPr>
      <w:r>
        <w:rPr>
          <w:rFonts w:ascii="Calibri" w:hAnsi="Calibri"/>
          <w:b w:val="0"/>
          <w:i w:val="0"/>
          <w:color w:val="1F2937"/>
          <w:sz w:val="20"/>
        </w:rPr>
        <w:t>Real email delivery depends on controlled Gmail/Google Workspace configuration and network availability.</w:t>
      </w:r>
    </w:p>
    <w:p>
      <w:pPr>
        <w:pStyle w:val="ListBullet"/>
        <w:spacing w:after="60" w:line="259" w:lineRule="auto"/>
        <w:ind w:left="346" w:hanging="230"/>
      </w:pPr>
      <w:r>
        <w:rPr>
          <w:rFonts w:ascii="Calibri" w:hAnsi="Calibri"/>
          <w:b w:val="0"/>
          <w:i w:val="0"/>
          <w:color w:val="1F2937"/>
          <w:sz w:val="20"/>
        </w:rPr>
        <w:t>Windows DPAPI and offline voice recognition are platform-specific; CSV storage relies on the exclusive writer lock.</w:t>
      </w:r>
    </w:p>
    <w:p>
      <w:pPr>
        <w:pStyle w:val="Heading2"/>
        <w:keepNext/>
      </w:pPr>
      <w:r>
        <w:t>Future improvements</w:t>
      </w:r>
    </w:p>
    <w:p>
      <w:pPr>
        <w:pStyle w:val="ListBullet"/>
        <w:spacing w:after="60" w:line="259" w:lineRule="auto"/>
        <w:ind w:left="346" w:hanging="230"/>
      </w:pPr>
      <w:r>
        <w:rPr>
          <w:rFonts w:ascii="Calibri" w:hAnsi="Calibri"/>
          <w:b w:val="0"/>
          <w:i w:val="0"/>
          <w:color w:val="1F2937"/>
          <w:sz w:val="20"/>
        </w:rPr>
        <w:t>Optional encrypted workspace export and explicit conflict-aware synchronization.</w:t>
      </w:r>
    </w:p>
    <w:p>
      <w:pPr>
        <w:pStyle w:val="ListBullet"/>
        <w:spacing w:after="60" w:line="259" w:lineRule="auto"/>
        <w:ind w:left="346" w:hanging="230"/>
      </w:pPr>
      <w:r>
        <w:rPr>
          <w:rFonts w:ascii="Calibri" w:hAnsi="Calibri"/>
          <w:b w:val="0"/>
          <w:i w:val="0"/>
          <w:color w:val="1F2937"/>
          <w:sz w:val="20"/>
        </w:rPr>
        <w:t>Durable shared OTP challenge storage and provider-neutral mail adapters.</w:t>
      </w:r>
    </w:p>
    <w:p>
      <w:pPr>
        <w:pStyle w:val="ListBullet"/>
        <w:spacing w:after="60" w:line="259" w:lineRule="auto"/>
        <w:ind w:left="346" w:hanging="230"/>
      </w:pPr>
      <w:r>
        <w:rPr>
          <w:rFonts w:ascii="Calibri" w:hAnsi="Calibri"/>
          <w:b w:val="0"/>
          <w:i w:val="0"/>
          <w:color w:val="1F2937"/>
          <w:sz w:val="20"/>
        </w:rPr>
        <w:t>More accessibility testing, locale-aware formatting, forecasting and additional import formats.</w:t>
      </w:r>
    </w:p>
    <w:p>
      <w:pPr>
        <w:pStyle w:val="Heading2"/>
        <w:keepNext/>
      </w:pPr>
      <w:r>
        <w:t>Concise references</w:t>
      </w:r>
    </w:p>
    <w:p>
      <w:pPr>
        <w:pStyle w:val="ListBullet"/>
        <w:spacing w:after="60" w:line="259" w:lineRule="auto"/>
        <w:ind w:left="346" w:hanging="230"/>
      </w:pPr>
      <w:r>
        <w:rPr>
          <w:rFonts w:ascii="Calibri" w:hAnsi="Calibri"/>
          <w:b w:val="0"/>
          <w:i w:val="0"/>
          <w:color w:val="1F2937"/>
          <w:sz w:val="20"/>
        </w:rPr>
        <w:t>Wealthora source: model, service, repository, ui, auth and otp-relay source trees.</w:t>
      </w:r>
    </w:p>
    <w:p>
      <w:pPr>
        <w:pStyle w:val="ListBullet"/>
        <w:spacing w:after="60" w:line="259" w:lineRule="auto"/>
        <w:ind w:left="346" w:hanging="230"/>
      </w:pPr>
      <w:r>
        <w:rPr>
          <w:rFonts w:ascii="Calibri" w:hAnsi="Calibri"/>
          <w:b w:val="0"/>
          <w:i w:val="0"/>
          <w:color w:val="1F2937"/>
          <w:sz w:val="20"/>
        </w:rPr>
        <w:t>Project mapping: docs/OOP_MAPPING.md, docs/ARCHITECTURE.md, README.md and build.xml.</w:t>
      </w:r>
    </w:p>
    <w:p>
      <w:pPr>
        <w:pStyle w:val="ListBullet"/>
        <w:spacing w:after="60" w:line="259" w:lineRule="auto"/>
        <w:ind w:left="346" w:hanging="230"/>
      </w:pPr>
      <w:r>
        <w:rPr>
          <w:rFonts w:ascii="Calibri" w:hAnsi="Calibri"/>
          <w:b w:val="0"/>
          <w:i w:val="0"/>
          <w:color w:val="1F2937"/>
          <w:sz w:val="20"/>
        </w:rPr>
        <w:t>Oracle Java SE 25 API documentation (java.desktop / Swing / JTable).</w:t>
      </w:r>
    </w:p>
    <w:p>
      <w:pPr>
        <w:pStyle w:val="ListBullet"/>
        <w:spacing w:after="60" w:line="259" w:lineRule="auto"/>
        <w:ind w:left="346" w:hanging="230"/>
      </w:pPr>
      <w:r>
        <w:rPr>
          <w:rFonts w:ascii="Calibri" w:hAnsi="Calibri"/>
          <w:b w:val="0"/>
          <w:i w:val="0"/>
          <w:color w:val="1F2937"/>
          <w:sz w:val="20"/>
        </w:rPr>
        <w:t>Apache Ant 1.10 manual and the checked NetBeans Ant project metadata.</w:t>
      </w:r>
    </w:p>
    <w:p>
      <w:pPr>
        <w:spacing w:after="100" w:lineRule="auto" w:line="276"/>
        <w:jc w:val="both"/>
      </w:pPr>
      <w:r>
        <w:rPr>
          <w:rFonts w:ascii="Calibri" w:hAnsi="Calibri"/>
          <w:b/>
          <w:i w:val="0"/>
          <w:color w:val="1F2937"/>
          <w:sz w:val="21"/>
        </w:rPr>
        <w:t>Demonstration reminder.</w:t>
      </w:r>
      <w:r>
        <w:rPr>
          <w:rFonts w:ascii="Calibri" w:hAnsi="Calibri"/>
          <w:b w:val="0"/>
          <w:i w:val="0"/>
          <w:color w:val="1F2937"/>
          <w:sz w:val="21"/>
        </w:rPr>
        <w:t xml:space="preserve"> Carry a printed hard copy of this six-page report on August 25, 2026. Use the configured project laptop for the live OTP path and retain the verified offline demo path.</w:t>
      </w:r>
    </w:p>
    <w:sectPr>
      <w:headerReference w:type="default" r:id="rId9"/>
      <w:footerReference w:type="default" r:id="rId10"/>
      <w:pgSz w:w="11906" w:h="16838"/>
      <w:pgMar w:top="1077" w:right="1219" w:bottom="1020" w:left="1219"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6"/>
      </w:rPr>
      <w:t>Wealthora - Personal Expense Tracker</w:t>
    </w:r>
    <w:r>
      <w:tab/>
    </w:r>
    <w:r>
      <w:rPr>
        <w:rFonts w:ascii="Calibri" w:hAnsi="Calibri"/>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464"/>
      <w:gridCol w:w="4824"/>
    </w:tblGrid>
    <w:tr>
      <w:tc>
        <w:tcPr>
          <w:tcW w:type="dxa" w:w="4644"/>
          <w:vAlign w:val="center"/>
          <w:tcMar>
            <w:top w:w="90" w:type="dxa"/>
            <w:start w:w="120" w:type="dxa"/>
            <w:bottom w:w="90" w:type="dxa"/>
            <w:end w:w="120" w:type="dxa"/>
          </w:tcMar>
          <w:tcBorders>
            <w:bottom w:val="single" w:sz="8" w:color="16785B"/>
          </w:tcBorders>
        </w:tcPr>
        <w:p>
          <w:pPr>
            <w:spacing w:after="0" w:before="0" w:line="252" w:lineRule="auto"/>
            <w:jc w:val="left"/>
          </w:pPr>
          <w:r/>
          <w:r>
            <w:rPr>
              <w:rFonts w:ascii="Calibri" w:hAnsi="Calibri"/>
              <w:b/>
              <w:color w:val="0F5F49"/>
              <w:sz w:val="17"/>
            </w:rPr>
            <w:t>WEALTHORA</w:t>
          </w:r>
        </w:p>
      </w:tc>
      <w:tc>
        <w:tcPr>
          <w:tcW w:type="dxa" w:w="4644"/>
          <w:vAlign w:val="center"/>
          <w:tcMar>
            <w:top w:w="90" w:type="dxa"/>
            <w:start w:w="120" w:type="dxa"/>
            <w:bottom w:w="90" w:type="dxa"/>
            <w:end w:w="120" w:type="dxa"/>
          </w:tcMar>
          <w:tcBorders>
            <w:bottom w:val="single" w:sz="8" w:color="16785B"/>
          </w:tcBorders>
        </w:tcPr>
        <w:p>
          <w:pPr>
            <w:spacing w:after="0" w:before="0" w:line="252" w:lineRule="auto"/>
            <w:jc w:val="right"/>
          </w:pPr>
          <w:r/>
          <w:r>
            <w:rPr>
              <w:rFonts w:ascii="Calibri" w:hAnsi="Calibri"/>
              <w:b/>
              <w:color w:val="5B6573"/>
              <w:sz w:val="16"/>
            </w:rPr>
            <w:t>CSE 215 FINAL PROJECT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F5F49"/>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B6CB0"/>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F5F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Wealthora - Final Academic Project Report</dc:title>
  <dc:subject>CSE 215 Section 11 Object-Oriented Programming project</dc:subject>
  <dc:creator/>
  <cp:keywords>Wealthora, Java, Swing, CSE 215, personal finance, OTP</cp:keywords>
  <dc:description>Prepared from the verified current working tree.</dc:description>
  <cp:lastModifiedBy/>
  <cp:revision>1</cp:revision>
  <dcterms:created xsi:type="dcterms:W3CDTF">2013-12-23T23:15:00Z</dcterms:created>
  <dcterms:modified xsi:type="dcterms:W3CDTF">2013-12-23T23:15:00Z</dcterms:modified>
  <cp:category/>
</cp:coreProperties>
</file>