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E2B3E" w:sz="12" w:space="8"/>
        </w:pBdr>
        <w:spacing w:after="40"/>
      </w:pPr>
      <w:r>
        <w:rPr>
          <w:rFonts w:ascii="Cambria" w:cs="Cambria" w:eastAsia="Cambria" w:hAnsi="Cambria"/>
          <w:b/>
          <w:bCs/>
          <w:color w:val="6B1D2A"/>
          <w:sz w:val="40"/>
          <w:szCs w:val="40"/>
        </w:rPr>
        <w:t xml:space="preserve">Memorandum of Understanding</w:t>
      </w:r>
    </w:p>
    <w:p>
      <w:pPr>
        <w:spacing w:after="240" w:before="80"/>
      </w:pPr>
      <w:r>
        <w:rPr>
          <w:rFonts w:ascii="Calibri" w:cs="Calibri" w:eastAsia="Calibri" w:hAnsi="Calibri"/>
          <w:i/>
          <w:iCs/>
          <w:color w:val="7A7062"/>
          <w:sz w:val="21"/>
          <w:szCs w:val="21"/>
        </w:rPr>
        <w:t xml:space="preserve">Between Protégé Ventures and [Partner Organisation] — template only</w:t>
      </w:r>
    </w:p>
    <w:p>
      <w:pPr>
        <w:spacing w:after="160"/>
      </w:pPr>
      <w:r>
        <w:rPr>
          <w:rFonts w:ascii="Calibri" w:cs="Calibri" w:eastAsia="Calibri" w:hAnsi="Calibri"/>
          <w:color w:val="4A4335"/>
          <w:sz w:val="20"/>
          <w:szCs w:val="20"/>
        </w:rPr>
        <w:t xml:space="preserve">This Memorandum of Understanding ("MoU") is entered into as of </w:t>
      </w:r>
      <w:r>
        <w:rPr>
          <w:rFonts w:ascii="Calibri" w:cs="Calibri" w:eastAsia="Calibri" w:hAnsi="Calibri"/>
          <w:i/>
          <w:iCs/>
          <w:color w:val="7A7062"/>
          <w:sz w:val="20"/>
          <w:szCs w:val="20"/>
        </w:rPr>
        <w:t xml:space="preserve">[Effective Date]</w:t>
      </w:r>
      <w:r>
        <w:rPr>
          <w:rFonts w:ascii="Calibri" w:cs="Calibri" w:eastAsia="Calibri" w:hAnsi="Calibri"/>
          <w:color w:val="4A4335"/>
          <w:sz w:val="20"/>
          <w:szCs w:val="20"/>
        </w:rPr>
        <w:t xml:space="preserve"> ("Effective Date") by and between:</w:t>
      </w:r>
    </w:p>
    <w:p>
      <w:pPr>
        <w:spacing w:after="100"/>
      </w:pPr>
      <w:r>
        <w:rPr>
          <w:rFonts w:ascii="Calibri" w:cs="Calibri" w:eastAsia="Calibri" w:hAnsi="Calibri"/>
          <w:b/>
          <w:bCs/>
          <w:color w:val="201C16"/>
          <w:sz w:val="20"/>
          <w:szCs w:val="20"/>
        </w:rPr>
        <w:t xml:space="preserve">Protégé Ventures</w:t>
      </w:r>
      <w:r>
        <w:rPr>
          <w:rFonts w:ascii="Calibri" w:cs="Calibri" w:eastAsia="Calibri" w:hAnsi="Calibri"/>
          <w:color w:val="4A4335"/>
          <w:sz w:val="20"/>
          <w:szCs w:val="20"/>
        </w:rPr>
        <w:t xml:space="preserve">, a student-led venture capital fund operating under </w:t>
      </w:r>
      <w:r>
        <w:rPr>
          <w:rFonts w:ascii="Calibri" w:cs="Calibri" w:eastAsia="Calibri" w:hAnsi="Calibri"/>
          <w:i/>
          <w:iCs/>
          <w:color w:val="7A7062"/>
          <w:sz w:val="20"/>
          <w:szCs w:val="20"/>
        </w:rPr>
        <w:t xml:space="preserve">[SMU Institute of Innovation and Entrepreneurship / host entity]</w:t>
      </w:r>
      <w:r>
        <w:rPr>
          <w:rFonts w:ascii="Calibri" w:cs="Calibri" w:eastAsia="Calibri" w:hAnsi="Calibri"/>
          <w:color w:val="4A4335"/>
          <w:sz w:val="20"/>
          <w:szCs w:val="20"/>
        </w:rPr>
        <w:t xml:space="preserve"> ("PV"); and</w:t>
      </w:r>
    </w:p>
    <w:p>
      <w:pPr>
        <w:spacing w:after="200"/>
      </w:pPr>
      <w:r>
        <w:rPr>
          <w:rFonts w:ascii="Calibri" w:cs="Calibri" w:eastAsia="Calibri" w:hAnsi="Calibri"/>
          <w:i/>
          <w:iCs/>
          <w:color w:val="7A7062"/>
          <w:sz w:val="20"/>
          <w:szCs w:val="20"/>
        </w:rPr>
        <w:t xml:space="preserve">[Partner Legal Name]</w:t>
      </w:r>
      <w:r>
        <w:rPr>
          <w:rFonts w:ascii="Calibri" w:cs="Calibri" w:eastAsia="Calibri" w:hAnsi="Calibri"/>
          <w:color w:val="4A4335"/>
          <w:sz w:val="20"/>
          <w:szCs w:val="20"/>
        </w:rPr>
        <w:t xml:space="preserve">, a </w:t>
      </w:r>
      <w:r>
        <w:rPr>
          <w:rFonts w:ascii="Calibri" w:cs="Calibri" w:eastAsia="Calibri" w:hAnsi="Calibri"/>
          <w:i/>
          <w:iCs/>
          <w:color w:val="7A7062"/>
          <w:sz w:val="20"/>
          <w:szCs w:val="20"/>
        </w:rPr>
        <w:t xml:space="preserve">[entity type]</w:t>
      </w:r>
      <w:r>
        <w:rPr>
          <w:rFonts w:ascii="Calibri" w:cs="Calibri" w:eastAsia="Calibri" w:hAnsi="Calibri"/>
          <w:color w:val="4A4335"/>
          <w:sz w:val="20"/>
          <w:szCs w:val="20"/>
        </w:rPr>
        <w:t xml:space="preserve"> with its principal place of business at </w:t>
      </w:r>
      <w:r>
        <w:rPr>
          <w:rFonts w:ascii="Calibri" w:cs="Calibri" w:eastAsia="Calibri" w:hAnsi="Calibri"/>
          <w:i/>
          <w:iCs/>
          <w:color w:val="7A7062"/>
          <w:sz w:val="20"/>
          <w:szCs w:val="20"/>
        </w:rPr>
        <w:t xml:space="preserve">[address]</w:t>
      </w:r>
      <w:r>
        <w:rPr>
          <w:rFonts w:ascii="Calibri" w:cs="Calibri" w:eastAsia="Calibri" w:hAnsi="Calibri"/>
          <w:color w:val="4A4335"/>
          <w:sz w:val="20"/>
          <w:szCs w:val="20"/>
        </w:rPr>
        <w:t xml:space="preserve"> ("Partner"),</w:t>
      </w:r>
    </w:p>
    <w:p>
      <w:pPr>
        <w:spacing w:after="240"/>
      </w:pPr>
      <w:r>
        <w:rPr>
          <w:rFonts w:ascii="Calibri" w:cs="Calibri" w:eastAsia="Calibri" w:hAnsi="Calibri"/>
          <w:color w:val="4A4335"/>
          <w:sz w:val="20"/>
          <w:szCs w:val="20"/>
        </w:rPr>
        <w:t xml:space="preserve">each a "Party" and together the "Parties".</w:t>
      </w:r>
    </w:p>
    <w:p>
      <w:pPr>
        <w:spacing w:after="100"/>
      </w:pPr>
      <w:r>
        <w:rPr>
          <w:rFonts w:ascii="Calibri" w:cs="Calibri" w:eastAsia="Calibri" w:hAnsi="Calibri"/>
          <w:b/>
          <w:bCs/>
          <w:color w:val="201C16"/>
          <w:sz w:val="20"/>
          <w:szCs w:val="20"/>
        </w:rPr>
        <w:t xml:space="preserve">WHEREAS </w:t>
      </w:r>
      <w:r>
        <w:rPr>
          <w:rFonts w:ascii="Calibri" w:cs="Calibri" w:eastAsia="Calibri" w:hAnsi="Calibri"/>
          <w:i/>
          <w:iCs/>
          <w:color w:val="4A4335"/>
          <w:sz w:val="20"/>
          <w:szCs w:val="20"/>
        </w:rPr>
        <w:t xml:space="preserve">PV is a venture fund that identifies and supports promising student and recent-graduate founders, and trains the next generation of VC and tech leaders;</w:t>
      </w:r>
    </w:p>
    <w:p>
      <w:pPr>
        <w:spacing w:after="100"/>
      </w:pPr>
      <w:r>
        <w:rPr>
          <w:rFonts w:ascii="Calibri" w:cs="Calibri" w:eastAsia="Calibri" w:hAnsi="Calibri"/>
          <w:b/>
          <w:bCs/>
          <w:color w:val="201C16"/>
          <w:sz w:val="20"/>
          <w:szCs w:val="20"/>
        </w:rPr>
        <w:t xml:space="preserve">WHEREAS </w:t>
      </w:r>
      <w:r>
        <w:rPr>
          <w:rFonts w:ascii="Calibri" w:cs="Calibri" w:eastAsia="Calibri" w:hAnsi="Calibri"/>
          <w:i/>
          <w:iCs/>
          <w:color w:val="7A7062"/>
          <w:sz w:val="20"/>
          <w:szCs w:val="20"/>
        </w:rPr>
        <w:t xml:space="preserve">[Partner] is [one-line description of Partner’s business or mission];</w:t>
      </w:r>
    </w:p>
    <w:p>
      <w:pPr>
        <w:spacing w:after="220"/>
      </w:pPr>
      <w:r>
        <w:rPr>
          <w:rFonts w:ascii="Calibri" w:cs="Calibri" w:eastAsia="Calibri" w:hAnsi="Calibri"/>
          <w:b/>
          <w:bCs/>
          <w:color w:val="201C16"/>
          <w:sz w:val="20"/>
          <w:szCs w:val="20"/>
        </w:rPr>
        <w:t xml:space="preserve">WHEREAS </w:t>
      </w:r>
      <w:r>
        <w:rPr>
          <w:rFonts w:ascii="Calibri" w:cs="Calibri" w:eastAsia="Calibri" w:hAnsi="Calibri"/>
          <w:i/>
          <w:iCs/>
          <w:color w:val="7A7062"/>
          <w:sz w:val="20"/>
          <w:szCs w:val="20"/>
        </w:rPr>
        <w:t xml:space="preserve">the Parties wish to collaborate on [brief description of the collaboration];</w:t>
      </w:r>
    </w:p>
    <w:p>
      <w:pPr>
        <w:spacing w:after="200"/>
      </w:pPr>
      <w:r>
        <w:rPr>
          <w:rFonts w:ascii="Calibri" w:cs="Calibri" w:eastAsia="Calibri" w:hAnsi="Calibri"/>
          <w:b/>
          <w:bCs/>
          <w:color w:val="201C16"/>
          <w:sz w:val="20"/>
          <w:szCs w:val="20"/>
        </w:rPr>
        <w:t xml:space="preserve">NOW, THEREFORE, the Parties agree as follows: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E2D9C8" w:sz="4"/>
              <w:left w:val="single" w:color="E2D9C8" w:sz="4"/>
              <w:bottom w:val="single" w:color="E2D9C8" w:sz="4"/>
              <w:right w:val="single" w:color="E2D9C8" w:sz="4"/>
            </w:tcBorders>
            <w:shd w:fill="F1DEE1" w:val="clear"/>
            <w:tcMar>
              <w:top w:type="dxa" w:w="100"/>
              <w:left w:type="dxa" w:w="140"/>
              <w:bottom w:type="dxa" w:w="100"/>
              <w:right w:type="dxa" w:w="140"/>
            </w:tcMar>
            <w:vAlign w:val="top"/>
          </w:tcPr>
          <w:p>
            <w:pPr>
              <w:spacing w:after="60"/>
            </w:pPr>
            <w:r>
              <w:rPr>
                <w:rFonts w:ascii="Calibri" w:cs="Calibri" w:eastAsia="Calibri" w:hAnsi="Calibri"/>
                <w:b/>
                <w:bCs/>
                <w:color w:val="6B1D2A"/>
                <w:sz w:val="16"/>
                <w:szCs w:val="16"/>
              </w:rPr>
              <w:t xml:space="preserve">NATURE OF THIS MoU — tick one before circulating for signature</w:t>
            </w:r>
          </w:p>
          <w:p>
            <w:pPr>
              <w:spacing w:after="60"/>
            </w:pPr>
            <w:r>
              <w:rPr>
                <w:rFonts w:ascii="Calibri" w:cs="Calibri" w:eastAsia="Calibri" w:hAnsi="Calibri"/>
                <w:color w:val="201C16"/>
                <w:sz w:val="18"/>
                <w:szCs w:val="18"/>
              </w:rPr>
              <w:t xml:space="preserve">☐ Non-binding — this MoU reflects the Parties’ good-faith understanding and creates no enforceable obligations, except Sections 6 (Confidentiality) and 10 (Governing Law &amp; Dispute Resolution), which survive.</w:t>
            </w:r>
          </w:p>
          <w:p>
            <w:r>
              <w:rPr>
                <w:rFonts w:ascii="Calibri" w:cs="Calibri" w:eastAsia="Calibri" w:hAnsi="Calibri"/>
                <w:color w:val="201C16"/>
                <w:sz w:val="18"/>
                <w:szCs w:val="18"/>
              </w:rPr>
              <w:t xml:space="preserve">☐ Binding — the Parties intend this MoU as a binding agreement, enforceable in full.</w:t>
            </w:r>
          </w:p>
        </w:tc>
      </w:tr>
    </w:tbl>
    <w:p>
      <w:pPr>
        <w:spacing w:before="200"/>
      </w:pPr>
    </w:p>
    <w:p>
      <w:pPr>
        <w:keepNext/>
        <w:spacing w:after="100" w:before="260"/>
      </w:pPr>
      <w:r>
        <w:rPr>
          <w:rFonts w:ascii="Cambria" w:cs="Cambria" w:eastAsia="Cambria" w:hAnsi="Cambria"/>
          <w:b/>
          <w:bCs/>
          <w:color w:val="6B1D2A"/>
          <w:sz w:val="22"/>
          <w:szCs w:val="22"/>
        </w:rPr>
        <w:t xml:space="preserve">1.  Purpose</w:t>
      </w:r>
    </w:p>
    <w:p>
      <w:pPr>
        <w:spacing w:after="140"/>
      </w:pPr>
      <w:r>
        <w:rPr>
          <w:rFonts w:ascii="Calibri" w:cs="Calibri" w:eastAsia="Calibri" w:hAnsi="Calibri"/>
          <w:color w:val="4A4335"/>
          <w:sz w:val="20"/>
          <w:szCs w:val="20"/>
        </w:rPr>
        <w:t xml:space="preserve">This MoU establishes a framework for collaboration between the Parties on [purpose of the partnership], in support of PV’s mission to back promising student founders and train the next generation of VC and tech talent.</w:t>
      </w:r>
    </w:p>
    <w:p>
      <w:pPr>
        <w:keepNext/>
        <w:spacing w:after="100" w:before="260"/>
      </w:pPr>
      <w:r>
        <w:rPr>
          <w:rFonts w:ascii="Cambria" w:cs="Cambria" w:eastAsia="Cambria" w:hAnsi="Cambria"/>
          <w:b/>
          <w:bCs/>
          <w:color w:val="6B1D2A"/>
          <w:sz w:val="22"/>
          <w:szCs w:val="22"/>
        </w:rPr>
        <w:t xml:space="preserve">2.  Scope of Collaboration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c>
          <w:tcPr>
            <w:tcW w:type="dxa" w:w="4850"/>
            <w:tcBorders>
              <w:top w:val="single" w:color="E2D9C8" w:sz="4"/>
              <w:left w:val="single" w:color="E2D9C8" w:sz="4"/>
              <w:bottom w:val="single" w:color="E2D9C8" w:sz="4"/>
              <w:right w:val="single" w:color="E2D9C8" w:sz="4"/>
            </w:tcBorders>
            <w:shd w:fill="F1DEE1" w:val="clear"/>
            <w:tcMar>
              <w:top w:type="dxa" w:w="100"/>
              <w:left w:type="dxa" w:w="140"/>
              <w:bottom w:type="dxa" w:w="100"/>
              <w:right w:type="dxa" w:w="140"/>
            </w:tcMar>
            <w:vAlign w:val="top"/>
          </w:tcPr>
          <w:p>
            <w:r>
              <w:rPr>
                <w:rFonts w:ascii="Calibri" w:cs="Calibri" w:eastAsia="Calibri" w:hAnsi="Calibri"/>
                <w:b/>
                <w:bCs/>
                <w:color w:val="6B1D2A"/>
                <w:sz w:val="18"/>
                <w:szCs w:val="18"/>
              </w:rPr>
              <w:t xml:space="preserve">What PV Provides</w:t>
            </w:r>
          </w:p>
        </w:tc>
        <w:tc>
          <w:tcPr>
            <w:tcW w:type="dxa" w:w="4850"/>
            <w:tcBorders>
              <w:top w:val="single" w:color="E2D9C8" w:sz="4"/>
              <w:left w:val="single" w:color="E2D9C8" w:sz="4"/>
              <w:bottom w:val="single" w:color="E2D9C8" w:sz="4"/>
              <w:right w:val="single" w:color="E2D9C8" w:sz="4"/>
            </w:tcBorders>
            <w:shd w:fill="F1DEE1" w:val="clear"/>
            <w:tcMar>
              <w:top w:type="dxa" w:w="100"/>
              <w:left w:type="dxa" w:w="140"/>
              <w:bottom w:type="dxa" w:w="100"/>
              <w:right w:type="dxa" w:w="140"/>
            </w:tcMar>
            <w:vAlign w:val="top"/>
          </w:tcPr>
          <w:p>
            <w:r>
              <w:rPr>
                <w:rFonts w:ascii="Calibri" w:cs="Calibri" w:eastAsia="Calibri" w:hAnsi="Calibri"/>
                <w:b/>
                <w:bCs/>
                <w:color w:val="6B1D2A"/>
                <w:sz w:val="18"/>
                <w:szCs w:val="18"/>
              </w:rPr>
              <w:t xml:space="preserve">What Partner Provides</w:t>
            </w:r>
          </w:p>
        </w:tc>
      </w:tr>
      <w:tr>
        <w:tc>
          <w:tcPr>
            <w:tcW w:type="dxa" w:w="4850"/>
            <w:tcBorders>
              <w:top w:val="single" w:color="E2D9C8" w:sz="4"/>
              <w:left w:val="single" w:color="E2D9C8" w:sz="4"/>
              <w:bottom w:val="single" w:color="E2D9C8" w:sz="4"/>
              <w:right w:val="single" w:color="E2D9C8" w:sz="4"/>
            </w:tcBorders>
            <w:tcMar>
              <w:top w:type="dxa" w:w="100"/>
              <w:left w:type="dxa" w:w="140"/>
              <w:bottom w:type="dxa" w:w="100"/>
              <w:right w:type="dxa" w:w="140"/>
            </w:tcMar>
            <w:vAlign w:val="top"/>
          </w:tcPr>
          <w:p>
            <w:r>
              <w:rPr>
                <w:rFonts w:ascii="Calibri" w:cs="Calibri" w:eastAsia="Calibri" w:hAnsi="Calibri"/>
                <w:i/>
                <w:iCs/>
                <w:color w:val="7A7062"/>
                <w:sz w:val="18"/>
                <w:szCs w:val="18"/>
              </w:rPr>
              <w:t xml:space="preserve">[e.g. deal flow access, event co-hosting, research data]</w:t>
            </w:r>
          </w:p>
        </w:tc>
        <w:tc>
          <w:tcPr>
            <w:tcW w:type="dxa" w:w="4850"/>
            <w:tcBorders>
              <w:top w:val="single" w:color="E2D9C8" w:sz="4"/>
              <w:left w:val="single" w:color="E2D9C8" w:sz="4"/>
              <w:bottom w:val="single" w:color="E2D9C8" w:sz="4"/>
              <w:right w:val="single" w:color="E2D9C8" w:sz="4"/>
            </w:tcBorders>
            <w:tcMar>
              <w:top w:type="dxa" w:w="100"/>
              <w:left w:type="dxa" w:w="140"/>
              <w:bottom w:type="dxa" w:w="100"/>
              <w:right w:type="dxa" w:w="140"/>
            </w:tcMar>
            <w:vAlign w:val="top"/>
          </w:tcPr>
          <w:p>
            <w:r>
              <w:rPr>
                <w:rFonts w:ascii="Calibri" w:cs="Calibri" w:eastAsia="Calibri" w:hAnsi="Calibri"/>
                <w:i/>
                <w:iCs/>
                <w:color w:val="7A7062"/>
                <w:sz w:val="18"/>
                <w:szCs w:val="18"/>
              </w:rPr>
              <w:t xml:space="preserve">[e.g. funding, venue, mentorship, distribution]</w:t>
            </w:r>
          </w:p>
        </w:tc>
      </w:tr>
      <w:tr>
        <w:tc>
          <w:tcPr>
            <w:tcW w:type="dxa" w:w="4850"/>
            <w:tcBorders>
              <w:top w:val="single" w:color="E2D9C8" w:sz="4"/>
              <w:left w:val="single" w:color="E2D9C8" w:sz="4"/>
              <w:bottom w:val="single" w:color="E2D9C8" w:sz="4"/>
              <w:right w:val="single" w:color="E2D9C8" w:sz="4"/>
            </w:tcBorders>
            <w:tcMar>
              <w:top w:type="dxa" w:w="100"/>
              <w:left w:type="dxa" w:w="140"/>
              <w:bottom w:type="dxa" w:w="100"/>
              <w:right w:type="dxa" w:w="140"/>
            </w:tcMar>
            <w:vAlign w:val="top"/>
          </w:tcPr>
          <w:p>
            <w:r>
              <w:rPr>
                <w:rFonts w:ascii="Calibri" w:cs="Calibri" w:eastAsia="Calibri" w:hAnsi="Calibri"/>
                <w:b/>
                <w:bCs/>
                <w:color w:val="4A4335"/>
                <w:sz w:val="18"/>
                <w:szCs w:val="18"/>
              </w:rPr>
              <w:t xml:space="preserve">PV point of contact: </w:t>
            </w:r>
            <w:r>
              <w:rPr>
                <w:rFonts w:ascii="Calibri" w:cs="Calibri" w:eastAsia="Calibri" w:hAnsi="Calibri"/>
                <w:i/>
                <w:iCs/>
                <w:color w:val="7A7062"/>
                <w:sz w:val="18"/>
                <w:szCs w:val="18"/>
              </w:rPr>
              <w:t xml:space="preserve">[Name, role, email]</w:t>
            </w:r>
          </w:p>
        </w:tc>
        <w:tc>
          <w:tcPr>
            <w:tcW w:type="dxa" w:w="4850"/>
            <w:tcBorders>
              <w:top w:val="single" w:color="E2D9C8" w:sz="4"/>
              <w:left w:val="single" w:color="E2D9C8" w:sz="4"/>
              <w:bottom w:val="single" w:color="E2D9C8" w:sz="4"/>
              <w:right w:val="single" w:color="E2D9C8" w:sz="4"/>
            </w:tcBorders>
            <w:tcMar>
              <w:top w:type="dxa" w:w="100"/>
              <w:left w:type="dxa" w:w="140"/>
              <w:bottom w:type="dxa" w:w="100"/>
              <w:right w:type="dxa" w:w="140"/>
            </w:tcMar>
            <w:vAlign w:val="top"/>
          </w:tcPr>
          <w:p>
            <w:r>
              <w:rPr>
                <w:rFonts w:ascii="Calibri" w:cs="Calibri" w:eastAsia="Calibri" w:hAnsi="Calibri"/>
                <w:b/>
                <w:bCs/>
                <w:color w:val="4A4335"/>
                <w:sz w:val="18"/>
                <w:szCs w:val="18"/>
              </w:rPr>
              <w:t xml:space="preserve">Partner point of contact: </w:t>
            </w:r>
            <w:r>
              <w:rPr>
                <w:rFonts w:ascii="Calibri" w:cs="Calibri" w:eastAsia="Calibri" w:hAnsi="Calibri"/>
                <w:i/>
                <w:iCs/>
                <w:color w:val="7A7062"/>
                <w:sz w:val="18"/>
                <w:szCs w:val="18"/>
              </w:rPr>
              <w:t xml:space="preserve">[Name, role, email]</w:t>
            </w:r>
          </w:p>
        </w:tc>
      </w:tr>
    </w:tbl>
    <w:p>
      <w:pPr>
        <w:keepNext/>
        <w:spacing w:after="100" w:before="260"/>
      </w:pPr>
      <w:r>
        <w:rPr>
          <w:rFonts w:ascii="Cambria" w:cs="Cambria" w:eastAsia="Cambria" w:hAnsi="Cambria"/>
          <w:b/>
          <w:bCs/>
          <w:color w:val="6B1D2A"/>
          <w:sz w:val="22"/>
          <w:szCs w:val="22"/>
        </w:rPr>
        <w:t xml:space="preserve">3.  Roles &amp; Responsibilities</w:t>
      </w:r>
    </w:p>
    <w:p>
      <w:pPr>
        <w:spacing w:after="140"/>
      </w:pPr>
      <w:r>
        <w:rPr>
          <w:rFonts w:ascii="Calibri" w:cs="Calibri" w:eastAsia="Calibri" w:hAnsi="Calibri"/>
          <w:color w:val="4A4335"/>
          <w:sz w:val="20"/>
          <w:szCs w:val="20"/>
        </w:rPr>
        <w:t xml:space="preserve">[Any commitments beyond the scope table above — approvals needed, internal stakeholders, reporting cadence.]</w:t>
      </w:r>
    </w:p>
    <w:p>
      <w:pPr>
        <w:keepNext/>
        <w:spacing w:after="100" w:before="260"/>
      </w:pPr>
      <w:r>
        <w:rPr>
          <w:rFonts w:ascii="Cambria" w:cs="Cambria" w:eastAsia="Cambria" w:hAnsi="Cambria"/>
          <w:b/>
          <w:bCs/>
          <w:color w:val="6B1D2A"/>
          <w:sz w:val="22"/>
          <w:szCs w:val="22"/>
        </w:rPr>
        <w:t xml:space="preserve">4.  Resources</w:t>
      </w:r>
    </w:p>
    <w:p>
      <w:pPr>
        <w:spacing w:after="140"/>
      </w:pPr>
      <w:r>
        <w:rPr>
          <w:rFonts w:ascii="Calibri" w:cs="Calibri" w:eastAsia="Calibri" w:hAnsi="Calibri"/>
          <w:color w:val="4A4335"/>
          <w:sz w:val="20"/>
          <w:szCs w:val="20"/>
        </w:rPr>
        <w:t xml:space="preserve">Each Party bears its own costs of participation unless otherwise agreed in writing. Any specific funding, staffing, or in-kind commitments are itemised in Section 2 above or in a signed schedule to this MoU.</w:t>
      </w:r>
    </w:p>
    <w:p>
      <w:pPr>
        <w:keepNext/>
        <w:spacing w:after="100" w:before="260"/>
      </w:pPr>
      <w:r>
        <w:rPr>
          <w:rFonts w:ascii="Cambria" w:cs="Cambria" w:eastAsia="Cambria" w:hAnsi="Cambria"/>
          <w:b/>
          <w:bCs/>
          <w:color w:val="6B1D2A"/>
          <w:sz w:val="22"/>
          <w:szCs w:val="22"/>
        </w:rPr>
        <w:t xml:space="preserve">5.  Non-Exclusivity</w:t>
      </w:r>
    </w:p>
    <w:p>
      <w:pPr>
        <w:pBdr>
          <w:left w:val="single" w:color="DCB3BA" w:sz="12" w:space="8"/>
        </w:pBdr>
        <w:spacing w:after="140"/>
        <w:ind w:left="260"/>
      </w:pPr>
      <w:r>
        <w:rPr>
          <w:rFonts w:ascii="Calibri" w:cs="Calibri" w:eastAsia="Calibri" w:hAnsi="Calibri"/>
          <w:i/>
          <w:iCs/>
          <w:color w:val="201C16"/>
          <w:sz w:val="20"/>
          <w:szCs w:val="20"/>
        </w:rPr>
        <w:t xml:space="preserve">This MoU is non-exclusive. Each party remains free to enter similar arrangements with others, unless expressly agreed otherwise in writing.</w:t>
      </w:r>
    </w:p>
    <w:p>
      <w:pPr>
        <w:keepNext/>
        <w:spacing w:after="100" w:before="260"/>
      </w:pPr>
      <w:r>
        <w:rPr>
          <w:rFonts w:ascii="Cambria" w:cs="Cambria" w:eastAsia="Cambria" w:hAnsi="Cambria"/>
          <w:b/>
          <w:bCs/>
          <w:color w:val="6B1D2A"/>
          <w:sz w:val="22"/>
          <w:szCs w:val="22"/>
        </w:rPr>
        <w:t xml:space="preserve">6.  Confidentiality</w:t>
      </w:r>
    </w:p>
    <w:p>
      <w:pPr>
        <w:spacing w:after="140"/>
      </w:pPr>
      <w:r>
        <w:rPr>
          <w:rFonts w:ascii="Calibri" w:cs="Calibri" w:eastAsia="Calibri" w:hAnsi="Calibri"/>
          <w:color w:val="4A4335"/>
          <w:sz w:val="20"/>
          <w:szCs w:val="20"/>
        </w:rPr>
        <w:t xml:space="preserve">Each Party agrees to keep confidential any non-public information disclosed by the other under this MoU, and to use it solely for the purposes of this collaboration, except as required by law or regulation. This obligation survives termination of this MoU for a period of [12] months. Where fuller protection is needed, the Parties may execute a separate non-disclosure agreement.</w:t>
      </w:r>
    </w:p>
    <w:p>
      <w:pPr>
        <w:keepNext/>
        <w:spacing w:after="100" w:before="260"/>
      </w:pPr>
      <w:r>
        <w:rPr>
          <w:rFonts w:ascii="Cambria" w:cs="Cambria" w:eastAsia="Cambria" w:hAnsi="Cambria"/>
          <w:b/>
          <w:bCs/>
          <w:color w:val="6B1D2A"/>
          <w:sz w:val="22"/>
          <w:szCs w:val="22"/>
        </w:rPr>
        <w:t xml:space="preserve">7.  Branding &amp; Affiliation</w:t>
      </w:r>
    </w:p>
    <w:p>
      <w:pPr>
        <w:pBdr>
          <w:left w:val="single" w:color="DCB3BA" w:sz="12" w:space="8"/>
        </w:pBdr>
        <w:spacing w:after="140"/>
        <w:ind w:left="260"/>
      </w:pPr>
      <w:r>
        <w:rPr>
          <w:rFonts w:ascii="Calibri" w:cs="Calibri" w:eastAsia="Calibri" w:hAnsi="Calibri"/>
          <w:i/>
          <w:iCs/>
          <w:color w:val="201C16"/>
          <w:sz w:val="20"/>
          <w:szCs w:val="20"/>
        </w:rPr>
        <w:t xml:space="preserve">This MoU does not create a partnership, joint venture, agency, or affiliate relationship between the parties. Neither party may describe itself as a subsidiary, division, or exclusive partner of the other without prior written consent.</w:t>
      </w:r>
    </w:p>
    <w:p>
      <w:pPr>
        <w:keepNext/>
        <w:spacing w:after="100" w:before="260"/>
      </w:pPr>
      <w:r>
        <w:rPr>
          <w:rFonts w:ascii="Cambria" w:cs="Cambria" w:eastAsia="Cambria" w:hAnsi="Cambria"/>
          <w:b/>
          <w:bCs/>
          <w:color w:val="6B1D2A"/>
          <w:sz w:val="22"/>
          <w:szCs w:val="22"/>
        </w:rPr>
        <w:t xml:space="preserve">8.  Term, Renewal &amp; Termination</w:t>
      </w:r>
    </w:p>
    <w:p>
      <w:pPr>
        <w:spacing w:after="140"/>
      </w:pPr>
      <w:r>
        <w:rPr>
          <w:rFonts w:ascii="Calibri" w:cs="Calibri" w:eastAsia="Calibri" w:hAnsi="Calibri"/>
          <w:color w:val="4A4335"/>
          <w:sz w:val="20"/>
          <w:szCs w:val="20"/>
        </w:rPr>
        <w:t xml:space="preserve">This MoU takes effect on the Effective Date and continues for [12 months], renewing automatically on the same terms unless either Party gives [30] days’ written notice of non-renewal. Either Party may terminate for convenience on [30] days’ written notice, or immediately for a material breach that is not cured within [15] days of written notice of the breach.</w:t>
      </w:r>
    </w:p>
    <w:p>
      <w:pPr>
        <w:keepNext/>
        <w:spacing w:after="100" w:before="260"/>
      </w:pPr>
      <w:r>
        <w:rPr>
          <w:rFonts w:ascii="Cambria" w:cs="Cambria" w:eastAsia="Cambria" w:hAnsi="Cambria"/>
          <w:b/>
          <w:bCs/>
          <w:color w:val="6B1D2A"/>
          <w:sz w:val="22"/>
          <w:szCs w:val="22"/>
        </w:rPr>
        <w:t xml:space="preserve">9.  Amendments</w:t>
      </w:r>
    </w:p>
    <w:p>
      <w:pPr>
        <w:spacing w:after="140"/>
      </w:pPr>
      <w:r>
        <w:rPr>
          <w:rFonts w:ascii="Calibri" w:cs="Calibri" w:eastAsia="Calibri" w:hAnsi="Calibri"/>
          <w:color w:val="4A4335"/>
          <w:sz w:val="20"/>
          <w:szCs w:val="20"/>
        </w:rPr>
        <w:t xml:space="preserve">This MoU may be amended only by written agreement signed by authorised representatives of both Parties.</w:t>
      </w:r>
    </w:p>
    <w:p>
      <w:pPr>
        <w:keepNext/>
        <w:spacing w:after="100" w:before="260"/>
      </w:pPr>
      <w:r>
        <w:rPr>
          <w:rFonts w:ascii="Cambria" w:cs="Cambria" w:eastAsia="Cambria" w:hAnsi="Cambria"/>
          <w:b/>
          <w:bCs/>
          <w:color w:val="6B1D2A"/>
          <w:sz w:val="22"/>
          <w:szCs w:val="22"/>
        </w:rPr>
        <w:t xml:space="preserve">10.  Governing Law &amp; Dispute Resolution</w:t>
      </w:r>
    </w:p>
    <w:p>
      <w:pPr>
        <w:spacing w:after="140"/>
      </w:pPr>
      <w:r>
        <w:rPr>
          <w:rFonts w:ascii="Calibri" w:cs="Calibri" w:eastAsia="Calibri" w:hAnsi="Calibri"/>
          <w:color w:val="4A4335"/>
          <w:sz w:val="20"/>
          <w:szCs w:val="20"/>
        </w:rPr>
        <w:t xml:space="preserve">This MoU is governed by the laws of the Republic of Singapore. The Parties will first attempt in good faith to resolve any dispute arising from this MoU through direct negotiation between [Partnerships Lead / designated representatives]. If unresolved within [30] days, the Parties will agree on a further escalation or resolution process before pursuing other remedies.</w:t>
      </w:r>
    </w:p>
    <w:p>
      <w:pPr>
        <w:keepNext/>
        <w:spacing w:after="100" w:before="260"/>
      </w:pPr>
      <w:r>
        <w:rPr>
          <w:rFonts w:ascii="Cambria" w:cs="Cambria" w:eastAsia="Cambria" w:hAnsi="Cambria"/>
          <w:b/>
          <w:bCs/>
          <w:color w:val="6B1D2A"/>
          <w:sz w:val="22"/>
          <w:szCs w:val="22"/>
        </w:rPr>
        <w:t xml:space="preserve">11.  Notices</w:t>
      </w:r>
    </w:p>
    <w:p>
      <w:pPr>
        <w:spacing w:after="140"/>
      </w:pPr>
      <w:r>
        <w:rPr>
          <w:rFonts w:ascii="Calibri" w:cs="Calibri" w:eastAsia="Calibri" w:hAnsi="Calibri"/>
          <w:color w:val="4A4335"/>
          <w:sz w:val="20"/>
          <w:szCs w:val="20"/>
        </w:rPr>
        <w:t xml:space="preserve">Any notice under this MoU must be in writing and sent by email to the addresses below, and is effective upon confirmed receipt.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c>
          <w:tcPr>
            <w:tcW w:type="dxa" w:w="4850"/>
            <w:tcBorders>
              <w:top w:val="single" w:color="E2D9C8" w:sz="4"/>
              <w:left w:val="single" w:color="E2D9C8" w:sz="4"/>
              <w:bottom w:val="single" w:color="E2D9C8" w:sz="4"/>
              <w:right w:val="single" w:color="E2D9C8" w:sz="4"/>
            </w:tcBorders>
            <w:shd w:fill="F1DEE1" w:val="clear"/>
            <w:tcMar>
              <w:top w:type="dxa" w:w="100"/>
              <w:left w:type="dxa" w:w="140"/>
              <w:bottom w:type="dxa" w:w="100"/>
              <w:right w:type="dxa" w:w="140"/>
            </w:tcMar>
            <w:vAlign w:val="top"/>
          </w:tcPr>
          <w:p>
            <w:r>
              <w:rPr>
                <w:rFonts w:ascii="Calibri" w:cs="Calibri" w:eastAsia="Calibri" w:hAnsi="Calibri"/>
                <w:b/>
                <w:bCs/>
                <w:color w:val="6B1D2A"/>
                <w:sz w:val="18"/>
                <w:szCs w:val="18"/>
              </w:rPr>
              <w:t xml:space="preserve">PV Notices</w:t>
            </w:r>
          </w:p>
        </w:tc>
        <w:tc>
          <w:tcPr>
            <w:tcW w:type="dxa" w:w="4850"/>
            <w:tcBorders>
              <w:top w:val="single" w:color="E2D9C8" w:sz="4"/>
              <w:left w:val="single" w:color="E2D9C8" w:sz="4"/>
              <w:bottom w:val="single" w:color="E2D9C8" w:sz="4"/>
              <w:right w:val="single" w:color="E2D9C8" w:sz="4"/>
            </w:tcBorders>
            <w:shd w:fill="F1DEE1" w:val="clear"/>
            <w:tcMar>
              <w:top w:type="dxa" w:w="100"/>
              <w:left w:type="dxa" w:w="140"/>
              <w:bottom w:type="dxa" w:w="100"/>
              <w:right w:type="dxa" w:w="140"/>
            </w:tcMar>
            <w:vAlign w:val="top"/>
          </w:tcPr>
          <w:p>
            <w:r>
              <w:rPr>
                <w:rFonts w:ascii="Calibri" w:cs="Calibri" w:eastAsia="Calibri" w:hAnsi="Calibri"/>
                <w:b/>
                <w:bCs/>
                <w:color w:val="6B1D2A"/>
                <w:sz w:val="18"/>
                <w:szCs w:val="18"/>
              </w:rPr>
              <w:t xml:space="preserve">Partner Notices</w:t>
            </w:r>
          </w:p>
        </w:tc>
      </w:tr>
      <w:tr>
        <w:tc>
          <w:tcPr>
            <w:tcW w:type="dxa" w:w="4850"/>
            <w:tcBorders>
              <w:top w:val="single" w:color="E2D9C8" w:sz="4"/>
              <w:left w:val="single" w:color="E2D9C8" w:sz="4"/>
              <w:bottom w:val="single" w:color="E2D9C8" w:sz="4"/>
              <w:right w:val="single" w:color="E2D9C8" w:sz="4"/>
            </w:tcBorders>
            <w:tcMar>
              <w:top w:type="dxa" w:w="100"/>
              <w:left w:type="dxa" w:w="140"/>
              <w:bottom w:type="dxa" w:w="100"/>
              <w:right w:type="dxa" w:w="140"/>
            </w:tcMar>
            <w:vAlign w:val="top"/>
          </w:tcPr>
          <w:p>
            <w:r>
              <w:rPr>
                <w:rFonts w:ascii="Calibri" w:cs="Calibri" w:eastAsia="Calibri" w:hAnsi="Calibri"/>
                <w:i/>
                <w:iCs/>
                <w:color w:val="7A7062"/>
                <w:sz w:val="18"/>
                <w:szCs w:val="18"/>
              </w:rPr>
              <w:t xml:space="preserve">[Name / email]</w:t>
            </w:r>
          </w:p>
        </w:tc>
        <w:tc>
          <w:tcPr>
            <w:tcW w:type="dxa" w:w="4850"/>
            <w:tcBorders>
              <w:top w:val="single" w:color="E2D9C8" w:sz="4"/>
              <w:left w:val="single" w:color="E2D9C8" w:sz="4"/>
              <w:bottom w:val="single" w:color="E2D9C8" w:sz="4"/>
              <w:right w:val="single" w:color="E2D9C8" w:sz="4"/>
            </w:tcBorders>
            <w:tcMar>
              <w:top w:type="dxa" w:w="100"/>
              <w:left w:type="dxa" w:w="140"/>
              <w:bottom w:type="dxa" w:w="100"/>
              <w:right w:type="dxa" w:w="140"/>
            </w:tcMar>
            <w:vAlign w:val="top"/>
          </w:tcPr>
          <w:p>
            <w:r>
              <w:rPr>
                <w:rFonts w:ascii="Calibri" w:cs="Calibri" w:eastAsia="Calibri" w:hAnsi="Calibri"/>
                <w:i/>
                <w:iCs/>
                <w:color w:val="7A7062"/>
                <w:sz w:val="18"/>
                <w:szCs w:val="18"/>
              </w:rPr>
              <w:t xml:space="preserve">[Name / email]</w:t>
            </w:r>
          </w:p>
        </w:tc>
      </w:tr>
    </w:tbl>
    <w:p>
      <w:pPr>
        <w:keepNext/>
        <w:spacing w:after="100" w:before="260"/>
      </w:pPr>
      <w:r>
        <w:rPr>
          <w:rFonts w:ascii="Cambria" w:cs="Cambria" w:eastAsia="Cambria" w:hAnsi="Cambria"/>
          <w:b/>
          <w:bCs/>
          <w:color w:val="6B1D2A"/>
          <w:sz w:val="22"/>
          <w:szCs w:val="22"/>
        </w:rPr>
        <w:t xml:space="preserve">12.  Entire Agreement &amp; Severability</w:t>
      </w:r>
    </w:p>
    <w:p>
      <w:pPr>
        <w:spacing w:after="140"/>
      </w:pPr>
      <w:r>
        <w:rPr>
          <w:rFonts w:ascii="Calibri" w:cs="Calibri" w:eastAsia="Calibri" w:hAnsi="Calibri"/>
          <w:color w:val="4A4335"/>
          <w:sz w:val="20"/>
          <w:szCs w:val="20"/>
        </w:rPr>
        <w:t xml:space="preserve">This MoU sets out the entire understanding between the Parties on this subject and supersedes all prior discussions or agreements on the same subject. If any provision of this MoU is held unenforceable, the remaining provisions continue in full force and effect.</w:t>
      </w:r>
    </w:p>
    <w:p>
      <w:pPr>
        <w:keepNext/>
        <w:spacing w:after="100" w:before="260"/>
      </w:pPr>
      <w:r>
        <w:rPr>
          <w:rFonts w:ascii="Cambria" w:cs="Cambria" w:eastAsia="Cambria" w:hAnsi="Cambria"/>
          <w:b/>
          <w:bCs/>
          <w:color w:val="6B1D2A"/>
          <w:sz w:val="22"/>
          <w:szCs w:val="22"/>
        </w:rPr>
        <w:t xml:space="preserve">13.  Counterparts</w:t>
      </w:r>
    </w:p>
    <w:p>
      <w:pPr>
        <w:spacing w:after="140"/>
      </w:pPr>
      <w:r>
        <w:rPr>
          <w:rFonts w:ascii="Calibri" w:cs="Calibri" w:eastAsia="Calibri" w:hAnsi="Calibri"/>
          <w:color w:val="4A4335"/>
          <w:sz w:val="20"/>
          <w:szCs w:val="20"/>
        </w:rPr>
        <w:t xml:space="preserve">This MoU may be executed in counterparts, including by electronic signature or exchange of scanned copies, each of which is deemed an original and all of which together constitute one instrument.</w:t>
      </w:r>
    </w:p>
    <w:p>
      <w:pPr>
        <w:spacing w:after="160" w:before="200"/>
      </w:pPr>
      <w:r>
        <w:rPr>
          <w:rFonts w:ascii="Calibri" w:cs="Calibri" w:eastAsia="Calibri" w:hAnsi="Calibri"/>
          <w:color w:val="4A4335"/>
          <w:sz w:val="20"/>
          <w:szCs w:val="20"/>
        </w:rPr>
        <w:t xml:space="preserve">IN WITNESS WHEREOF, the Parties have executed this MoU as of the Effective Date.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c>
          <w:tcPr>
            <w:tcW w:type="dxa" w:w="4850"/>
            <w:tcBorders>
              <w:top w:val="single" w:color="E2D9C8" w:sz="4"/>
              <w:left w:val="single" w:color="E2D9C8" w:sz="4"/>
              <w:bottom w:val="single" w:color="E2D9C8" w:sz="4"/>
              <w:right w:val="single" w:color="E2D9C8" w:sz="4"/>
            </w:tcBorders>
            <w:shd w:fill="F1DEE1" w:val="clear"/>
            <w:tcMar>
              <w:top w:type="dxa" w:w="100"/>
              <w:left w:type="dxa" w:w="140"/>
              <w:bottom w:type="dxa" w:w="100"/>
              <w:right w:type="dxa" w:w="140"/>
            </w:tcMar>
            <w:vAlign w:val="top"/>
          </w:tcPr>
          <w:p>
            <w:r>
              <w:rPr>
                <w:rFonts w:ascii="Calibri" w:cs="Calibri" w:eastAsia="Calibri" w:hAnsi="Calibri"/>
                <w:b/>
                <w:bCs/>
                <w:color w:val="6B1D2A"/>
                <w:sz w:val="18"/>
                <w:szCs w:val="18"/>
              </w:rPr>
              <w:t xml:space="preserve">For Protégé Ventures</w:t>
            </w:r>
          </w:p>
        </w:tc>
        <w:tc>
          <w:tcPr>
            <w:tcW w:type="dxa" w:w="4850"/>
            <w:tcBorders>
              <w:top w:val="single" w:color="E2D9C8" w:sz="4"/>
              <w:left w:val="single" w:color="E2D9C8" w:sz="4"/>
              <w:bottom w:val="single" w:color="E2D9C8" w:sz="4"/>
              <w:right w:val="single" w:color="E2D9C8" w:sz="4"/>
            </w:tcBorders>
            <w:shd w:fill="F1DEE1" w:val="clear"/>
            <w:tcMar>
              <w:top w:type="dxa" w:w="100"/>
              <w:left w:type="dxa" w:w="140"/>
              <w:bottom w:type="dxa" w:w="100"/>
              <w:right w:type="dxa" w:w="140"/>
            </w:tcMar>
            <w:vAlign w:val="top"/>
          </w:tcPr>
          <w:p>
            <w:r>
              <w:rPr>
                <w:rFonts w:ascii="Calibri" w:cs="Calibri" w:eastAsia="Calibri" w:hAnsi="Calibri"/>
                <w:b/>
                <w:bCs/>
                <w:color w:val="6B1D2A"/>
                <w:sz w:val="18"/>
                <w:szCs w:val="18"/>
              </w:rPr>
              <w:t xml:space="preserve">For [Partner]</w:t>
            </w:r>
          </w:p>
        </w:tc>
      </w:tr>
      <w:tr>
        <w:tc>
          <w:tcPr>
            <w:tcW w:type="dxa" w:w="4850"/>
            <w:tcBorders>
              <w:top w:val="single" w:color="E2D9C8" w:sz="4"/>
              <w:left w:val="single" w:color="E2D9C8" w:sz="4"/>
              <w:bottom w:val="single" w:color="E2D9C8" w:sz="4"/>
              <w:right w:val="single" w:color="E2D9C8" w:sz="4"/>
            </w:tcBorders>
            <w:tcMar>
              <w:top w:type="dxa" w:w="100"/>
              <w:left w:type="dxa" w:w="140"/>
              <w:bottom w:type="dxa" w:w="100"/>
              <w:right w:type="dxa" w:w="140"/>
            </w:tcMar>
            <w:vAlign w:val="top"/>
          </w:tcPr>
          <w:p>
            <w:r>
              <w:rPr>
                <w:rFonts w:ascii="Calibri" w:cs="Calibri" w:eastAsia="Calibri" w:hAnsi="Calibri"/>
                <w:b/>
                <w:bCs/>
                <w:color w:val="4A4335"/>
                <w:sz w:val="18"/>
                <w:szCs w:val="18"/>
              </w:rPr>
              <w:t xml:space="preserve">Name: </w:t>
            </w:r>
            <w:r>
              <w:rPr>
                <w:rFonts w:ascii="Calibri" w:cs="Calibri" w:eastAsia="Calibri" w:hAnsi="Calibri"/>
                <w:i/>
                <w:iCs/>
                <w:color w:val="7A7062"/>
                <w:sz w:val="18"/>
                <w:szCs w:val="18"/>
              </w:rPr>
              <w:t xml:space="preserve">[ ]</w:t>
            </w:r>
          </w:p>
        </w:tc>
        <w:tc>
          <w:tcPr>
            <w:tcW w:type="dxa" w:w="4850"/>
            <w:tcBorders>
              <w:top w:val="single" w:color="E2D9C8" w:sz="4"/>
              <w:left w:val="single" w:color="E2D9C8" w:sz="4"/>
              <w:bottom w:val="single" w:color="E2D9C8" w:sz="4"/>
              <w:right w:val="single" w:color="E2D9C8" w:sz="4"/>
            </w:tcBorders>
            <w:tcMar>
              <w:top w:type="dxa" w:w="100"/>
              <w:left w:type="dxa" w:w="140"/>
              <w:bottom w:type="dxa" w:w="100"/>
              <w:right w:type="dxa" w:w="140"/>
            </w:tcMar>
            <w:vAlign w:val="top"/>
          </w:tcPr>
          <w:p>
            <w:r>
              <w:rPr>
                <w:rFonts w:ascii="Calibri" w:cs="Calibri" w:eastAsia="Calibri" w:hAnsi="Calibri"/>
                <w:b/>
                <w:bCs/>
                <w:color w:val="4A4335"/>
                <w:sz w:val="18"/>
                <w:szCs w:val="18"/>
              </w:rPr>
              <w:t xml:space="preserve">Name: </w:t>
            </w:r>
            <w:r>
              <w:rPr>
                <w:rFonts w:ascii="Calibri" w:cs="Calibri" w:eastAsia="Calibri" w:hAnsi="Calibri"/>
                <w:i/>
                <w:iCs/>
                <w:color w:val="7A7062"/>
                <w:sz w:val="18"/>
                <w:szCs w:val="18"/>
              </w:rPr>
              <w:t xml:space="preserve">[ ]</w:t>
            </w:r>
          </w:p>
        </w:tc>
      </w:tr>
      <w:tr>
        <w:tc>
          <w:tcPr>
            <w:tcW w:type="dxa" w:w="4850"/>
            <w:tcBorders>
              <w:top w:val="single" w:color="E2D9C8" w:sz="4"/>
              <w:left w:val="single" w:color="E2D9C8" w:sz="4"/>
              <w:bottom w:val="single" w:color="E2D9C8" w:sz="4"/>
              <w:right w:val="single" w:color="E2D9C8" w:sz="4"/>
            </w:tcBorders>
            <w:tcMar>
              <w:top w:type="dxa" w:w="100"/>
              <w:left w:type="dxa" w:w="140"/>
              <w:bottom w:type="dxa" w:w="100"/>
              <w:right w:type="dxa" w:w="140"/>
            </w:tcMar>
            <w:vAlign w:val="top"/>
          </w:tcPr>
          <w:p>
            <w:r>
              <w:rPr>
                <w:rFonts w:ascii="Calibri" w:cs="Calibri" w:eastAsia="Calibri" w:hAnsi="Calibri"/>
                <w:b/>
                <w:bCs/>
                <w:color w:val="4A4335"/>
                <w:sz w:val="18"/>
                <w:szCs w:val="18"/>
              </w:rPr>
              <w:t xml:space="preserve">Title: </w:t>
            </w:r>
            <w:r>
              <w:rPr>
                <w:rFonts w:ascii="Calibri" w:cs="Calibri" w:eastAsia="Calibri" w:hAnsi="Calibri"/>
                <w:i/>
                <w:iCs/>
                <w:color w:val="7A7062"/>
                <w:sz w:val="18"/>
                <w:szCs w:val="18"/>
              </w:rPr>
              <w:t xml:space="preserve">[ ]</w:t>
            </w:r>
          </w:p>
        </w:tc>
        <w:tc>
          <w:tcPr>
            <w:tcW w:type="dxa" w:w="4850"/>
            <w:tcBorders>
              <w:top w:val="single" w:color="E2D9C8" w:sz="4"/>
              <w:left w:val="single" w:color="E2D9C8" w:sz="4"/>
              <w:bottom w:val="single" w:color="E2D9C8" w:sz="4"/>
              <w:right w:val="single" w:color="E2D9C8" w:sz="4"/>
            </w:tcBorders>
            <w:tcMar>
              <w:top w:type="dxa" w:w="100"/>
              <w:left w:type="dxa" w:w="140"/>
              <w:bottom w:type="dxa" w:w="100"/>
              <w:right w:type="dxa" w:w="140"/>
            </w:tcMar>
            <w:vAlign w:val="top"/>
          </w:tcPr>
          <w:p>
            <w:r>
              <w:rPr>
                <w:rFonts w:ascii="Calibri" w:cs="Calibri" w:eastAsia="Calibri" w:hAnsi="Calibri"/>
                <w:b/>
                <w:bCs/>
                <w:color w:val="4A4335"/>
                <w:sz w:val="18"/>
                <w:szCs w:val="18"/>
              </w:rPr>
              <w:t xml:space="preserve">Title: </w:t>
            </w:r>
            <w:r>
              <w:rPr>
                <w:rFonts w:ascii="Calibri" w:cs="Calibri" w:eastAsia="Calibri" w:hAnsi="Calibri"/>
                <w:i/>
                <w:iCs/>
                <w:color w:val="7A7062"/>
                <w:sz w:val="18"/>
                <w:szCs w:val="18"/>
              </w:rPr>
              <w:t xml:space="preserve">[ ]</w:t>
            </w:r>
          </w:p>
        </w:tc>
      </w:tr>
      <w:tr>
        <w:tc>
          <w:tcPr>
            <w:tcW w:type="dxa" w:w="4850"/>
            <w:tcBorders>
              <w:top w:val="single" w:color="E2D9C8" w:sz="4"/>
              <w:left w:val="single" w:color="E2D9C8" w:sz="4"/>
              <w:bottom w:val="single" w:color="E2D9C8" w:sz="4"/>
              <w:right w:val="single" w:color="E2D9C8" w:sz="4"/>
            </w:tcBorders>
            <w:tcMar>
              <w:top w:type="dxa" w:w="100"/>
              <w:left w:type="dxa" w:w="140"/>
              <w:bottom w:type="dxa" w:w="100"/>
              <w:right w:type="dxa" w:w="140"/>
            </w:tcMar>
            <w:vAlign w:val="top"/>
          </w:tcPr>
          <w:p>
            <w:r>
              <w:rPr>
                <w:rFonts w:ascii="Calibri" w:cs="Calibri" w:eastAsia="Calibri" w:hAnsi="Calibri"/>
                <w:b/>
                <w:bCs/>
                <w:color w:val="4A4335"/>
                <w:sz w:val="18"/>
                <w:szCs w:val="18"/>
              </w:rPr>
              <w:t xml:space="preserve">Organisation: </w:t>
            </w:r>
            <w:r>
              <w:rPr>
                <w:rFonts w:ascii="Calibri" w:cs="Calibri" w:eastAsia="Calibri" w:hAnsi="Calibri"/>
                <w:i/>
                <w:iCs/>
                <w:color w:val="7A7062"/>
                <w:sz w:val="18"/>
                <w:szCs w:val="18"/>
              </w:rPr>
              <w:t xml:space="preserve">[ ]</w:t>
            </w:r>
          </w:p>
        </w:tc>
        <w:tc>
          <w:tcPr>
            <w:tcW w:type="dxa" w:w="4850"/>
            <w:tcBorders>
              <w:top w:val="single" w:color="E2D9C8" w:sz="4"/>
              <w:left w:val="single" w:color="E2D9C8" w:sz="4"/>
              <w:bottom w:val="single" w:color="E2D9C8" w:sz="4"/>
              <w:right w:val="single" w:color="E2D9C8" w:sz="4"/>
            </w:tcBorders>
            <w:tcMar>
              <w:top w:type="dxa" w:w="100"/>
              <w:left w:type="dxa" w:w="140"/>
              <w:bottom w:type="dxa" w:w="100"/>
              <w:right w:type="dxa" w:w="140"/>
            </w:tcMar>
            <w:vAlign w:val="top"/>
          </w:tcPr>
          <w:p>
            <w:r>
              <w:rPr>
                <w:rFonts w:ascii="Calibri" w:cs="Calibri" w:eastAsia="Calibri" w:hAnsi="Calibri"/>
                <w:b/>
                <w:bCs/>
                <w:color w:val="4A4335"/>
                <w:sz w:val="18"/>
                <w:szCs w:val="18"/>
              </w:rPr>
              <w:t xml:space="preserve">Organisation: </w:t>
            </w:r>
            <w:r>
              <w:rPr>
                <w:rFonts w:ascii="Calibri" w:cs="Calibri" w:eastAsia="Calibri" w:hAnsi="Calibri"/>
                <w:i/>
                <w:iCs/>
                <w:color w:val="7A7062"/>
                <w:sz w:val="18"/>
                <w:szCs w:val="18"/>
              </w:rPr>
              <w:t xml:space="preserve">[ ]</w:t>
            </w:r>
          </w:p>
        </w:tc>
      </w:tr>
      <w:tr>
        <w:tc>
          <w:tcPr>
            <w:tcW w:type="dxa" w:w="4850"/>
            <w:tcBorders>
              <w:top w:val="single" w:color="E2D9C8" w:sz="4"/>
              <w:left w:val="single" w:color="E2D9C8" w:sz="4"/>
              <w:bottom w:val="single" w:color="E2D9C8" w:sz="4"/>
              <w:right w:val="single" w:color="E2D9C8" w:sz="4"/>
            </w:tcBorders>
            <w:tcMar>
              <w:top w:type="dxa" w:w="100"/>
              <w:left w:type="dxa" w:w="140"/>
              <w:bottom w:type="dxa" w:w="100"/>
              <w:right w:type="dxa" w:w="140"/>
            </w:tcMar>
            <w:vAlign w:val="top"/>
          </w:tcPr>
          <w:p>
            <w:r>
              <w:rPr>
                <w:rFonts w:ascii="Calibri" w:cs="Calibri" w:eastAsia="Calibri" w:hAnsi="Calibri"/>
                <w:b/>
                <w:bCs/>
                <w:color w:val="4A4335"/>
                <w:sz w:val="18"/>
                <w:szCs w:val="18"/>
              </w:rPr>
              <w:t xml:space="preserve">Date: </w:t>
            </w:r>
            <w:r>
              <w:rPr>
                <w:rFonts w:ascii="Calibri" w:cs="Calibri" w:eastAsia="Calibri" w:hAnsi="Calibri"/>
                <w:i/>
                <w:iCs/>
                <w:color w:val="7A7062"/>
                <w:sz w:val="18"/>
                <w:szCs w:val="18"/>
              </w:rPr>
              <w:t xml:space="preserve">[ ]</w:t>
            </w:r>
          </w:p>
        </w:tc>
        <w:tc>
          <w:tcPr>
            <w:tcW w:type="dxa" w:w="4850"/>
            <w:tcBorders>
              <w:top w:val="single" w:color="E2D9C8" w:sz="4"/>
              <w:left w:val="single" w:color="E2D9C8" w:sz="4"/>
              <w:bottom w:val="single" w:color="E2D9C8" w:sz="4"/>
              <w:right w:val="single" w:color="E2D9C8" w:sz="4"/>
            </w:tcBorders>
            <w:tcMar>
              <w:top w:type="dxa" w:w="100"/>
              <w:left w:type="dxa" w:w="140"/>
              <w:bottom w:type="dxa" w:w="100"/>
              <w:right w:type="dxa" w:w="140"/>
            </w:tcMar>
            <w:vAlign w:val="top"/>
          </w:tcPr>
          <w:p>
            <w:r>
              <w:rPr>
                <w:rFonts w:ascii="Calibri" w:cs="Calibri" w:eastAsia="Calibri" w:hAnsi="Calibri"/>
                <w:b/>
                <w:bCs/>
                <w:color w:val="4A4335"/>
                <w:sz w:val="18"/>
                <w:szCs w:val="18"/>
              </w:rPr>
              <w:t xml:space="preserve">Date: </w:t>
            </w:r>
            <w:r>
              <w:rPr>
                <w:rFonts w:ascii="Calibri" w:cs="Calibri" w:eastAsia="Calibri" w:hAnsi="Calibri"/>
                <w:i/>
                <w:iCs/>
                <w:color w:val="7A7062"/>
                <w:sz w:val="18"/>
                <w:szCs w:val="18"/>
              </w:rPr>
              <w:t xml:space="preserve">[ ]</w:t>
            </w:r>
          </w:p>
        </w:tc>
      </w:tr>
      <w:tr>
        <w:tc>
          <w:tcPr>
            <w:tcW w:type="dxa" w:w="4850"/>
            <w:tcBorders>
              <w:top w:val="single" w:color="E2D9C8" w:sz="4"/>
              <w:left w:val="single" w:color="E2D9C8" w:sz="4"/>
              <w:bottom w:val="single" w:color="E2D9C8" w:sz="4"/>
              <w:right w:val="single" w:color="E2D9C8" w:sz="4"/>
            </w:tcBorders>
            <w:tcMar>
              <w:top w:type="dxa" w:w="100"/>
              <w:left w:type="dxa" w:w="140"/>
              <w:bottom w:type="dxa" w:w="100"/>
              <w:right w:type="dxa" w:w="140"/>
            </w:tcMar>
            <w:vAlign w:val="top"/>
          </w:tcPr>
          <w:p>
            <w:r>
              <w:rPr>
                <w:rFonts w:ascii="Calibri" w:cs="Calibri" w:eastAsia="Calibri" w:hAnsi="Calibri"/>
                <w:b/>
                <w:bCs/>
                <w:color w:val="4A4335"/>
                <w:sz w:val="18"/>
                <w:szCs w:val="18"/>
              </w:rPr>
              <w:t xml:space="preserve">Signature: </w:t>
            </w:r>
            <w:r>
              <w:rPr>
                <w:rFonts w:ascii="Calibri" w:cs="Calibri" w:eastAsia="Calibri" w:hAnsi="Calibri"/>
                <w:i/>
                <w:iCs/>
                <w:color w:val="7A7062"/>
                <w:sz w:val="18"/>
                <w:szCs w:val="18"/>
              </w:rPr>
              <w:t xml:space="preserve">[ ]</w:t>
            </w:r>
          </w:p>
        </w:tc>
        <w:tc>
          <w:tcPr>
            <w:tcW w:type="dxa" w:w="4850"/>
            <w:tcBorders>
              <w:top w:val="single" w:color="E2D9C8" w:sz="4"/>
              <w:left w:val="single" w:color="E2D9C8" w:sz="4"/>
              <w:bottom w:val="single" w:color="E2D9C8" w:sz="4"/>
              <w:right w:val="single" w:color="E2D9C8" w:sz="4"/>
            </w:tcBorders>
            <w:tcMar>
              <w:top w:type="dxa" w:w="100"/>
              <w:left w:type="dxa" w:w="140"/>
              <w:bottom w:type="dxa" w:w="100"/>
              <w:right w:type="dxa" w:w="140"/>
            </w:tcMar>
            <w:vAlign w:val="top"/>
          </w:tcPr>
          <w:p>
            <w:r>
              <w:rPr>
                <w:rFonts w:ascii="Calibri" w:cs="Calibri" w:eastAsia="Calibri" w:hAnsi="Calibri"/>
                <w:b/>
                <w:bCs/>
                <w:color w:val="4A4335"/>
                <w:sz w:val="18"/>
                <w:szCs w:val="18"/>
              </w:rPr>
              <w:t xml:space="preserve">Signature: </w:t>
            </w:r>
            <w:r>
              <w:rPr>
                <w:rFonts w:ascii="Calibri" w:cs="Calibri" w:eastAsia="Calibri" w:hAnsi="Calibri"/>
                <w:i/>
                <w:iCs/>
                <w:color w:val="7A7062"/>
                <w:sz w:val="18"/>
                <w:szCs w:val="18"/>
              </w:rPr>
              <w:t xml:space="preserve">[ ]</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9C8" w:sz="4" w:space="6"/>
      </w:pBdr>
      <w:jc w:val="center"/>
    </w:pPr>
    <w:r>
      <w:rPr>
        <w:rFonts w:ascii="Calibri" w:cs="Calibri" w:eastAsia="Calibri" w:hAnsi="Calibri"/>
        <w:i/>
        <w:iCs/>
        <w:color w:val="7A7062"/>
        <w:sz w:val="15"/>
        <w:szCs w:val="15"/>
      </w:rPr>
      <w:t xml:space="preserve">Template only — have any MoU intended for signature reviewed by your institution’s relevant office or legal counsel before execution.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9E2B3E"/>
        <w:sz w:val="14"/>
        <w:szCs w:val="1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1C1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2026-09-06T14:40:48.366Z</dcterms:created>
  <dcterms:modified xsi:type="dcterms:W3CDTF">2026-09-06T14:40:48.366Z</dcterms:modified>
</cp:coreProperties>
</file>

<file path=docProps/custom.xml><?xml version="1.0" encoding="utf-8"?>
<Properties xmlns="http://schemas.openxmlformats.org/officeDocument/2006/custom-properties" xmlns:vt="http://schemas.openxmlformats.org/officeDocument/2006/docPropsVTypes"/>
</file>