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400pt; height:26.666666666667pt; margin-left:0pt; margin-top:0pt; mso-position-horizontal:left; mso-position-vertical:top; mso-position-horizontal-relative:char; mso-position-vertical-relative:line;">
            <w10:wrap type="inline"/>
            <v:imagedata r:id="rId7" o:title=""/>
          </v:shape>
        </w:pict>
      </w:r>
    </w:p>
    <w:p>
      <w:pPr>
        <w:pStyle w:val="pStyle"/>
      </w:pPr>
      <w:r>
        <w:rPr>
          <w:rFonts w:ascii="微软雅黑" w:hAnsi="微软雅黑" w:eastAsia="微软雅黑" w:cs="微软雅黑"/>
          <w:sz w:val="24"/>
          <w:szCs w:val="24"/>
          <w:b/>
          <w:bCs/>
        </w:rPr>
        <w:t xml:space="preserve">版纳漫时光双飞6日游1126(单团）行程单</w:t>
      </w:r>
    </w:p>
    <w:p>
      <w:pPr>
        <w:jc w:val="center"/>
        <w:spacing w:after="100"/>
      </w:pPr>
      <w:r>
        <w:rPr>
          <w:rFonts w:ascii="微软雅黑" w:hAnsi="微软雅黑" w:eastAsia="微软雅黑" w:cs="微软雅黑"/>
          <w:sz w:val="20"/>
          <w:szCs w:val="20"/>
        </w:rPr>
        <w:t xml:space="preserve">版纳直飞</w:t>
      </w:r>
    </w:p>
    <w:tbl>
      <w:tblGrid>
        <w:gridCol w:w="1200" w:type="dxa"/>
        <w:gridCol w:w="2300" w:type="dxa"/>
        <w:gridCol w:w="1200" w:type="dxa"/>
        <w:gridCol w:w="2300" w:type="dxa"/>
        <w:gridCol w:w="1200" w:type="dxa"/>
        <w:gridCol w:w="2300" w:type="dxa"/>
      </w:tblGrid>
      <w:tblPr>
        <w:tblStyle w:val="travel"/>
      </w:tblPr>
      <w:tr>
        <w:trPr/>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产品编号</w:t>
            </w:r>
          </w:p>
        </w:tc>
        <w:tc>
          <w:tcPr>
            <w:tcW w:w="2300" w:type="dxa"/>
          </w:tcPr>
          <w:p>
            <w:pPr>
              <w:pStyle w:val="indent"/>
            </w:pPr>
            <w:r>
              <w:rPr>
                <w:rFonts w:ascii="微软雅黑" w:hAnsi="微软雅黑" w:eastAsia="微软雅黑" w:cs="微软雅黑"/>
                <w:color w:val="000000"/>
                <w:sz w:val="20"/>
                <w:szCs w:val="20"/>
              </w:rPr>
              <w:t xml:space="preserve">yn1700019051bi</w:t>
            </w:r>
          </w:p>
        </w:tc>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出发地</w:t>
            </w:r>
          </w:p>
        </w:tc>
        <w:tc>
          <w:tcPr>
            <w:tcW w:w="2300" w:type="dxa"/>
          </w:tcPr>
          <w:p>
            <w:pPr>
              <w:pStyle w:val="indent"/>
            </w:pPr>
            <w:r>
              <w:rPr>
                <w:rFonts w:ascii="微软雅黑" w:hAnsi="微软雅黑" w:eastAsia="微软雅黑" w:cs="微软雅黑"/>
                <w:color w:val="000000"/>
                <w:sz w:val="20"/>
                <w:szCs w:val="20"/>
              </w:rPr>
              <w:t xml:space="preserve">银川市</w:t>
            </w:r>
          </w:p>
        </w:tc>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目的地</w:t>
            </w:r>
          </w:p>
        </w:tc>
        <w:tc>
          <w:tcPr>
            <w:tcW w:w="2300" w:type="dxa"/>
          </w:tcPr>
          <w:p>
            <w:pPr>
              <w:pStyle w:val="indent"/>
            </w:pPr>
            <w:r>
              <w:rPr>
                <w:rFonts w:ascii="微软雅黑" w:hAnsi="微软雅黑" w:eastAsia="微软雅黑" w:cs="微软雅黑"/>
                <w:color w:val="000000"/>
                <w:sz w:val="20"/>
                <w:szCs w:val="20"/>
              </w:rPr>
              <w:t xml:space="preserve">西双版纳傣族自治州</w:t>
            </w:r>
          </w:p>
        </w:tc>
      </w:tr>
      <w:tr>
        <w:trPr/>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行程天数</w:t>
            </w:r>
          </w:p>
        </w:tc>
        <w:tc>
          <w:tcPr>
            <w:tcW w:w="2300" w:type="dxa"/>
          </w:tcPr>
          <w:p>
            <w:pPr>
              <w:pStyle w:val="indent"/>
            </w:pPr>
            <w:r>
              <w:rPr>
                <w:rFonts w:ascii="微软雅黑" w:hAnsi="微软雅黑" w:eastAsia="微软雅黑" w:cs="微软雅黑"/>
                <w:color w:val="000000"/>
                <w:sz w:val="20"/>
                <w:szCs w:val="20"/>
              </w:rPr>
              <w:t xml:space="preserve">6</w:t>
            </w:r>
          </w:p>
        </w:tc>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去程交通</w:t>
            </w:r>
          </w:p>
        </w:tc>
        <w:tc>
          <w:tcPr>
            <w:tcW w:w="2300" w:type="dxa"/>
          </w:tcPr>
          <w:p>
            <w:pPr>
              <w:pStyle w:val="indent"/>
            </w:pPr>
            <w:r>
              <w:rPr>
                <w:rFonts w:ascii="微软雅黑" w:hAnsi="微软雅黑" w:eastAsia="微软雅黑" w:cs="微软雅黑"/>
                <w:color w:val="000000"/>
                <w:sz w:val="20"/>
                <w:szCs w:val="20"/>
              </w:rPr>
              <w:t xml:space="preserve">无</w:t>
            </w:r>
          </w:p>
        </w:tc>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返程交通</w:t>
            </w:r>
          </w:p>
        </w:tc>
        <w:tc>
          <w:tcPr>
            <w:tcW w:w="2300" w:type="dxa"/>
          </w:tcPr>
          <w:p>
            <w:pPr>
              <w:pStyle w:val="indent"/>
            </w:pPr>
            <w:r>
              <w:rPr>
                <w:rFonts w:ascii="微软雅黑" w:hAnsi="微软雅黑" w:eastAsia="微软雅黑" w:cs="微软雅黑"/>
                <w:color w:val="000000"/>
                <w:sz w:val="20"/>
                <w:szCs w:val="20"/>
              </w:rPr>
              <w:t xml:space="preserve">无</w:t>
            </w:r>
          </w:p>
        </w:tc>
      </w:tr>
      <w:tr>
        <w:trPr/>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参考航班</w:t>
            </w:r>
          </w:p>
        </w:tc>
        <w:tc>
          <w:tcPr>
            <w:gridSpan w:val="5"/>
          </w:tcPr>
          <w:p>
            <w:pPr>
              <w:pStyle w:val="indent"/>
            </w:pPr>
            <w:r>
              <w:rPr>
                <w:rFonts w:ascii="微软雅黑" w:hAnsi="微软雅黑" w:eastAsia="微软雅黑" w:cs="微软雅黑"/>
                <w:color w:val="000000"/>
                <w:sz w:val="20"/>
                <w:szCs w:val="20"/>
              </w:rPr>
              <w:t xml:space="preserve">无</w:t>
            </w:r>
          </w:p>
        </w:tc>
      </w:tr>
      <w:tr>
        <w:trPr/>
        <w:tc>
          <w:tcPr>
            <w:tcW w:w="1200" w:type="dxa"/>
            <w:vAlign w:val="center"/>
            <w:shd w:val="clear" w:fill="efefef"/>
          </w:tcPr>
          <w:p>
            <w:pPr>
              <w:pStyle w:val="center"/>
            </w:pPr>
            <w:r>
              <w:rPr>
                <w:rFonts w:ascii="微软雅黑" w:hAnsi="微软雅黑" w:eastAsia="微软雅黑" w:cs="微软雅黑"/>
                <w:color w:val="000000"/>
                <w:sz w:val="20"/>
                <w:szCs w:val="20"/>
                <w:b/>
                <w:bCs/>
              </w:rPr>
              <w:t xml:space="preserve">产品亮点</w:t>
            </w:r>
          </w:p>
        </w:tc>
        <w:tc>
          <w:tcPr>
            <w:tcW w:w="8500" w:type="dxa"/>
            <w:gridSpan w:val="5"/>
          </w:tcPr>
          <w:p>
            <w:pPr>
              <w:pStyle w:val="indent"/>
            </w:pPr>
            <w:r>
              <w:rPr>
                <w:rFonts w:ascii="微软雅黑" w:hAnsi="微软雅黑" w:eastAsia="微软雅黑" w:cs="微软雅黑"/>
                <w:color w:val="000000"/>
                <w:sz w:val="20"/>
                <w:szCs w:val="20"/>
              </w:rPr>
              <w:t xml:space="preserve">银川起止带全陪</w:t>
            </w:r>
          </w:p>
        </w:tc>
      </w:tr>
    </w:tbl>
    <w:p>
      <w:pPr>
        <w:jc w:val="left"/>
        <w:spacing w:before="10" w:after="10"/>
      </w:pPr>
      <w:r>
        <w:rPr>
          <w:rFonts w:ascii="微软雅黑" w:hAnsi="微软雅黑" w:eastAsia="微软雅黑" w:cs="微软雅黑"/>
          <w:sz w:val="22"/>
          <w:szCs w:val="22"/>
          <w:b/>
          <w:bCs/>
        </w:rPr>
        <w:t xml:space="preserve">行程安排</w:t>
      </w:r>
    </w:p>
    <w:tbl>
      <w:tblGrid>
        <w:gridCol w:w="1000" w:type="dxa"/>
        <w:gridCol w:w="9500" w:type="dxa"/>
      </w:tblGrid>
      <w:tblPr>
        <w:tblStyle w:val="lineSchedulings"/>
      </w:tblPr>
      <w:tr>
        <w:trPr/>
        <w:tc>
          <w:tcPr>
            <w:tcW w:w="10500" w:type="dxa"/>
            <w:gridSpan w:val="2"/>
          </w:tcPr>
          <w:p>
            <w:pPr/>
            <w:r>
              <w:rPr>
                <w:rFonts w:ascii="微软雅黑" w:hAnsi="微软雅黑" w:eastAsia="微软雅黑" w:cs="微软雅黑"/>
                <w:sz w:val="22"/>
                <w:szCs w:val="22"/>
                <w:b/>
                <w:bCs/>
              </w:rPr>
              <w:t xml:space="preserve">D1</w:t>
            </w:r>
          </w:p>
        </w:tc>
      </w:tr>
      <w:tr>
        <w:trPr/>
        <w:tc>
          <w:tcPr>
            <w:tcW w:w="1000" w:type="dxa"/>
          </w:tcPr>
          <w:p>
            <w:pPr>
              <w:pStyle w:val="indent"/>
            </w:pPr>
            <w:r>
              <w:rPr>
                <w:rFonts w:ascii="微软雅黑" w:hAnsi="微软雅黑" w:eastAsia="微软雅黑" w:cs="微软雅黑"/>
                <w:sz w:val="22"/>
                <w:szCs w:val="22"/>
                <w:b/>
                <w:bCs/>
              </w:rPr>
              <w:t xml:space="preserve">行程详情</w:t>
            </w:r>
          </w:p>
        </w:tc>
        <w:tc>
          <w:tcPr>
            <w:tcW w:w="9500" w:type="dxa"/>
          </w:tcPr>
          <w:p>
            <w:pPr>
              <w:pStyle w:val="indent"/>
            </w:pPr>
            <w:r>
              <w:rPr>
                <w:rFonts w:ascii="微软雅黑" w:hAnsi="微软雅黑" w:eastAsia="微软雅黑" w:cs="微软雅黑"/>
                <w:sz w:val="22"/>
                <w:szCs w:val="22"/>
                <w:b/>
                <w:bCs/>
              </w:rPr>
              <w:t xml:space="preserve">
                银川→西双版纳
                <w:br/>
              </w:t>
            </w:r>
          </w:p>
          <w:p>
            <w:pPr>
              <w:pStyle w:val="indent"/>
            </w:pPr>
            <w:r>
              <w:rPr>
                <w:rFonts w:ascii="微软雅黑" w:hAnsi="微软雅黑" w:eastAsia="微软雅黑" w:cs="微软雅黑"/>
                <w:color w:val="000000"/>
                <w:sz w:val="20"/>
                <w:szCs w:val="20"/>
              </w:rPr>
              <w:t xml:space="preserve">
                银川--西双版纳  GJ6073  12:00----15:20
                <w:br/>
                请在航班起飞前两个小时到达银川机场，办理登机手续，在您到达【景洪嘎洒机场】后，我们会安排专业的接机人员护送你到今晚入住的酒店成功入住酒店后，您可以出门逛逛，品尝当地各种特色小吃，相信这城市夜晚的灯火也能让你感受到一丝暖意。
                <w:br/>
              </w:t>
            </w:r>
          </w:p>
        </w:tc>
      </w:tr>
      <w:tr>
        <w:trPr/>
        <w:tc>
          <w:tcPr>
            <w:tcW w:w="1000" w:type="dxa"/>
          </w:tcPr>
          <w:p>
            <w:pPr>
              <w:pStyle w:val="indent"/>
            </w:pPr>
            <w:r>
              <w:rPr>
                <w:rFonts w:ascii="微软雅黑" w:hAnsi="微软雅黑" w:eastAsia="微软雅黑" w:cs="微软雅黑"/>
                <w:sz w:val="22"/>
                <w:szCs w:val="22"/>
                <w:b/>
                <w:bCs/>
              </w:rPr>
              <w:t xml:space="preserve">用餐</w:t>
            </w:r>
          </w:p>
        </w:tc>
        <w:tc>
          <w:tcPr>
            <w:tcW w:w="9500" w:type="dxa"/>
          </w:tcPr>
          <w:p>
            <w:pPr>
              <w:pStyle w:val="indent"/>
            </w:pPr>
            <w:r>
              <w:rPr>
                <w:rFonts w:ascii="微软雅黑" w:hAnsi="微软雅黑" w:eastAsia="微软雅黑" w:cs="微软雅黑"/>
                <w:color w:val="000000"/>
                <w:sz w:val="20"/>
                <w:szCs w:val="20"/>
              </w:rPr>
              <w:t xml:space="preserve">早餐：X     午餐：X     晚餐：X   </w:t>
            </w:r>
          </w:p>
        </w:tc>
      </w:tr>
      <w:tr>
        <w:trPr/>
        <w:tc>
          <w:tcPr>
            <w:tcW w:w="1000" w:type="dxa"/>
          </w:tcPr>
          <w:p>
            <w:pPr>
              <w:pStyle w:val="indent"/>
            </w:pPr>
            <w:r>
              <w:rPr>
                <w:rFonts w:ascii="微软雅黑" w:hAnsi="微软雅黑" w:eastAsia="微软雅黑" w:cs="微软雅黑"/>
                <w:sz w:val="22"/>
                <w:szCs w:val="22"/>
                <w:b/>
                <w:bCs/>
              </w:rPr>
              <w:t xml:space="preserve">住宿</w:t>
            </w:r>
          </w:p>
        </w:tc>
        <w:tc>
          <w:tcPr>
            <w:tcW w:w="9500" w:type="dxa"/>
          </w:tcPr>
          <w:p>
            <w:pPr>
              <w:pStyle w:val="indent"/>
            </w:pPr>
            <w:r>
              <w:rPr>
                <w:rFonts w:ascii="微软雅黑" w:hAnsi="微软雅黑" w:eastAsia="微软雅黑" w:cs="微软雅黑"/>
                <w:color w:val="000000"/>
                <w:sz w:val="20"/>
                <w:szCs w:val="20"/>
              </w:rPr>
              <w:t xml:space="preserve">西双版纳</w:t>
            </w:r>
          </w:p>
        </w:tc>
      </w:tr>
      <w:tr>
        <w:trPr/>
        <w:tc>
          <w:tcPr>
            <w:tcW w:w="10500" w:type="dxa"/>
            <w:gridSpan w:val="2"/>
          </w:tcPr>
          <w:p>
            <w:pPr/>
            <w:r>
              <w:rPr>
                <w:rFonts w:ascii="微软雅黑" w:hAnsi="微软雅黑" w:eastAsia="微软雅黑" w:cs="微软雅黑"/>
                <w:sz w:val="22"/>
                <w:szCs w:val="22"/>
                <w:b/>
                <w:bCs/>
              </w:rPr>
              <w:t xml:space="preserve">D2</w:t>
            </w:r>
          </w:p>
        </w:tc>
      </w:tr>
      <w:tr>
        <w:trPr/>
        <w:tc>
          <w:tcPr>
            <w:tcW w:w="1000" w:type="dxa"/>
          </w:tcPr>
          <w:p>
            <w:pPr>
              <w:pStyle w:val="indent"/>
            </w:pPr>
            <w:r>
              <w:rPr>
                <w:rFonts w:ascii="微软雅黑" w:hAnsi="微软雅黑" w:eastAsia="微软雅黑" w:cs="微软雅黑"/>
                <w:sz w:val="22"/>
                <w:szCs w:val="22"/>
                <w:b/>
                <w:bCs/>
              </w:rPr>
              <w:t xml:space="preserve">行程详情</w:t>
            </w:r>
          </w:p>
        </w:tc>
        <w:tc>
          <w:tcPr>
            <w:tcW w:w="9500" w:type="dxa"/>
          </w:tcPr>
          <w:p>
            <w:pPr>
              <w:pStyle w:val="indent"/>
            </w:pPr>
            <w:r>
              <w:rPr>
                <w:rFonts w:ascii="微软雅黑" w:hAnsi="微软雅黑" w:eastAsia="微软雅黑" w:cs="微软雅黑"/>
                <w:sz w:val="22"/>
                <w:szCs w:val="22"/>
                <w:b/>
                <w:bCs/>
              </w:rPr>
              <w:t xml:space="preserve">
                植物园一傣族园(大型泼水活动)一入住酒店 一星光夜市自由活动
                <w:br/>
              </w:t>
            </w:r>
          </w:p>
          <w:p>
            <w:pPr>
              <w:pStyle w:val="indent"/>
            </w:pPr>
            <w:r>
              <w:rPr>
                <w:rFonts w:ascii="微软雅黑" w:hAnsi="微软雅黑" w:eastAsia="微软雅黑" w:cs="微软雅黑"/>
                <w:color w:val="000000"/>
                <w:sz w:val="20"/>
                <w:szCs w:val="20"/>
              </w:rPr>
              <w:t xml:space="preserve">
                早餐后，前往中国惟一的热带植物园【勐仑植物园】，（游览时间约 120 分钟，含电瓶车70元/人）参观中国最大的热带植物园--勐仑植物园，观赏跳舞草绞杀树、见血封喉树、神秘果树、王棕树等上千种热带植物，沿途欣赏澜沧江（湄公河）风光，了解傣族风土人情。主要收集热带各种奇花异木，并用园林园艺的方式向公众进行展示。收集奇花异木 274 种和品种。 您可以尽情感受西双版纳植物花草的魅力。
                <w:br/>
                乘车前往【傣族园】（游玩时间约 120 分钟），如果说西双版纳的神秘、美丽，是造物主对这块北回归线上最后一片绿洲的莫大恩赐，那么西双版纳傣族园的内 大片自然生态村寨能够得以完整地保护下来，则得益于这里的村民对本民族文化的无比眷恋与执着，得益于他们深植于血液与灵魂中与自然和谐相处的生态观念。
                <w:br/>
                18:00入住酒店后自由活动。
                <w:br/>
                建议夜晚自由逛【告庄星光夜市】：湄公河•星光夜市一片璀璨，通亮如白昼，如同点起了成千上万盏灯火，更像灯火的海洋，璀璨耀眼，如天边的银河，美不胜收（逛夜市完后需自行返回酒店，请理解。自由活动期间请务必注意人身和财产安全，外出请携带好酒店名片，且尽量22：00之前返回酒店）
                <w:br/>
              </w:t>
            </w:r>
          </w:p>
        </w:tc>
      </w:tr>
      <w:tr>
        <w:trPr/>
        <w:tc>
          <w:tcPr>
            <w:tcW w:w="1000" w:type="dxa"/>
          </w:tcPr>
          <w:p>
            <w:pPr>
              <w:pStyle w:val="indent"/>
            </w:pPr>
            <w:r>
              <w:rPr>
                <w:rFonts w:ascii="微软雅黑" w:hAnsi="微软雅黑" w:eastAsia="微软雅黑" w:cs="微软雅黑"/>
                <w:sz w:val="22"/>
                <w:szCs w:val="22"/>
                <w:b/>
                <w:bCs/>
              </w:rPr>
              <w:t xml:space="preserve">用餐</w:t>
            </w:r>
          </w:p>
        </w:tc>
        <w:tc>
          <w:tcPr>
            <w:tcW w:w="9500" w:type="dxa"/>
          </w:tcPr>
          <w:p>
            <w:pPr>
              <w:pStyle w:val="indent"/>
            </w:pPr>
            <w:r>
              <w:rPr>
                <w:rFonts w:ascii="微软雅黑" w:hAnsi="微软雅黑" w:eastAsia="微软雅黑" w:cs="微软雅黑"/>
                <w:color w:val="000000"/>
                <w:sz w:val="20"/>
                <w:szCs w:val="20"/>
              </w:rPr>
              <w:t xml:space="preserve">早餐：√     午餐：√     晚餐：X   </w:t>
            </w:r>
          </w:p>
        </w:tc>
      </w:tr>
      <w:tr>
        <w:trPr/>
        <w:tc>
          <w:tcPr>
            <w:tcW w:w="1000" w:type="dxa"/>
          </w:tcPr>
          <w:p>
            <w:pPr>
              <w:pStyle w:val="indent"/>
            </w:pPr>
            <w:r>
              <w:rPr>
                <w:rFonts w:ascii="微软雅黑" w:hAnsi="微软雅黑" w:eastAsia="微软雅黑" w:cs="微软雅黑"/>
                <w:sz w:val="22"/>
                <w:szCs w:val="22"/>
                <w:b/>
                <w:bCs/>
              </w:rPr>
              <w:t xml:space="preserve">住宿</w:t>
            </w:r>
          </w:p>
        </w:tc>
        <w:tc>
          <w:tcPr>
            <w:tcW w:w="9500" w:type="dxa"/>
          </w:tcPr>
          <w:p>
            <w:pPr>
              <w:pStyle w:val="indent"/>
            </w:pPr>
            <w:r>
              <w:rPr>
                <w:rFonts w:ascii="微软雅黑" w:hAnsi="微软雅黑" w:eastAsia="微软雅黑" w:cs="微软雅黑"/>
                <w:color w:val="000000"/>
                <w:sz w:val="20"/>
                <w:szCs w:val="20"/>
              </w:rPr>
              <w:t xml:space="preserve">西双版纳</w:t>
            </w:r>
          </w:p>
        </w:tc>
      </w:tr>
      <w:tr>
        <w:trPr/>
        <w:tc>
          <w:tcPr>
            <w:tcW w:w="10500" w:type="dxa"/>
            <w:gridSpan w:val="2"/>
          </w:tcPr>
          <w:p>
            <w:pPr/>
            <w:r>
              <w:rPr>
                <w:rFonts w:ascii="微软雅黑" w:hAnsi="微软雅黑" w:eastAsia="微软雅黑" w:cs="微软雅黑"/>
                <w:sz w:val="22"/>
                <w:szCs w:val="22"/>
                <w:b/>
                <w:bCs/>
              </w:rPr>
              <w:t xml:space="preserve">D3</w:t>
            </w:r>
          </w:p>
        </w:tc>
      </w:tr>
      <w:tr>
        <w:trPr/>
        <w:tc>
          <w:tcPr>
            <w:tcW w:w="1000" w:type="dxa"/>
          </w:tcPr>
          <w:p>
            <w:pPr>
              <w:pStyle w:val="indent"/>
            </w:pPr>
            <w:r>
              <w:rPr>
                <w:rFonts w:ascii="微软雅黑" w:hAnsi="微软雅黑" w:eastAsia="微软雅黑" w:cs="微软雅黑"/>
                <w:sz w:val="22"/>
                <w:szCs w:val="22"/>
                <w:b/>
                <w:bCs/>
              </w:rPr>
              <w:t xml:space="preserve">行程详情</w:t>
            </w:r>
          </w:p>
        </w:tc>
        <w:tc>
          <w:tcPr>
            <w:tcW w:w="9500" w:type="dxa"/>
          </w:tcPr>
          <w:p>
            <w:pPr>
              <w:pStyle w:val="indent"/>
            </w:pPr>
            <w:r>
              <w:rPr>
                <w:rFonts w:ascii="微软雅黑" w:hAnsi="微软雅黑" w:eastAsia="微软雅黑" w:cs="微软雅黑"/>
                <w:sz w:val="22"/>
                <w:szCs w:val="22"/>
                <w:b/>
                <w:bCs/>
              </w:rPr>
              <w:t xml:space="preserve">
                野象谷(与大象近距离拍照)一大佛寺(孔雀放飞，玻璃栈道)一红盒子下午茶(网红香薰下午茶)一入住酒店
                <w:br/>
              </w:t>
            </w:r>
          </w:p>
          <w:p>
            <w:pPr>
              <w:pStyle w:val="indent"/>
            </w:pPr>
            <w:r>
              <w:rPr>
                <w:rFonts w:ascii="微软雅黑" w:hAnsi="微软雅黑" w:eastAsia="微软雅黑" w:cs="微软雅黑"/>
                <w:color w:val="000000"/>
                <w:sz w:val="20"/>
                <w:szCs w:val="20"/>
              </w:rPr>
              <w:t xml:space="preserve">
                早餐后前往【野象谷】（游览时间约 120 分钟）西双版纳野象谷，神秘奇异也悦目。景区内沟壑纵横，森林茂密， 一片热带雨林风光，亚洲野象、野牛、绿孔雀、猕猴等保护动物都在此栖息。在景区内还可参观蛇园、蝴蝶园、百鸟园、观热带雨林风光和野象的出没及行踪… …
                <w:br/>
                午餐后前往游览【勐泐大佛寺】（游览时间约 120 分钟，含往返电瓶车 60元）勐泐大佛寺是在 古代傣王朝的皇家寺院“景飘佛寺 ”的原址上恢复重建的，“景飘佛寺 ”是古时的一位傣王为纪 念病故的王妃而修建。从万佛塔前广场俯视景洪市景，旖旎的热带风光尽收眼底。在此，可以看到孔雀放飞，百只孔雀从大佛的方向飞下来非常的壮观，可以给孔雀拍照留念，玻璃栈道上俯视整个西双版纳。
                <w:br/>
                随后根据时间安排前往【红盒子网红下午茶】品尝更有口感美味的，悠闲的享受度假时光；
                <w:br/>
                晚上推荐自费：勐巴拉纳西篝火 280 元/人或澜沧江夜游船 280 元/ 人
                <w:br/>
              </w:t>
            </w:r>
          </w:p>
        </w:tc>
      </w:tr>
      <w:tr>
        <w:trPr/>
        <w:tc>
          <w:tcPr>
            <w:tcW w:w="1000" w:type="dxa"/>
          </w:tcPr>
          <w:p>
            <w:pPr>
              <w:pStyle w:val="indent"/>
            </w:pPr>
            <w:r>
              <w:rPr>
                <w:rFonts w:ascii="微软雅黑" w:hAnsi="微软雅黑" w:eastAsia="微软雅黑" w:cs="微软雅黑"/>
                <w:sz w:val="22"/>
                <w:szCs w:val="22"/>
                <w:b/>
                <w:bCs/>
              </w:rPr>
              <w:t xml:space="preserve">用餐</w:t>
            </w:r>
          </w:p>
        </w:tc>
        <w:tc>
          <w:tcPr>
            <w:tcW w:w="9500" w:type="dxa"/>
          </w:tcPr>
          <w:p>
            <w:pPr>
              <w:pStyle w:val="indent"/>
            </w:pPr>
            <w:r>
              <w:rPr>
                <w:rFonts w:ascii="微软雅黑" w:hAnsi="微软雅黑" w:eastAsia="微软雅黑" w:cs="微软雅黑"/>
                <w:color w:val="000000"/>
                <w:sz w:val="20"/>
                <w:szCs w:val="20"/>
              </w:rPr>
              <w:t xml:space="preserve">早餐：√     午餐：√     晚餐：X   </w:t>
            </w:r>
          </w:p>
        </w:tc>
      </w:tr>
      <w:tr>
        <w:trPr/>
        <w:tc>
          <w:tcPr>
            <w:tcW w:w="1000" w:type="dxa"/>
          </w:tcPr>
          <w:p>
            <w:pPr>
              <w:pStyle w:val="indent"/>
            </w:pPr>
            <w:r>
              <w:rPr>
                <w:rFonts w:ascii="微软雅黑" w:hAnsi="微软雅黑" w:eastAsia="微软雅黑" w:cs="微软雅黑"/>
                <w:sz w:val="22"/>
                <w:szCs w:val="22"/>
                <w:b/>
                <w:bCs/>
              </w:rPr>
              <w:t xml:space="preserve">住宿</w:t>
            </w:r>
          </w:p>
        </w:tc>
        <w:tc>
          <w:tcPr>
            <w:tcW w:w="9500" w:type="dxa"/>
          </w:tcPr>
          <w:p>
            <w:pPr>
              <w:pStyle w:val="indent"/>
            </w:pPr>
            <w:r>
              <w:rPr>
                <w:rFonts w:ascii="微软雅黑" w:hAnsi="微软雅黑" w:eastAsia="微软雅黑" w:cs="微软雅黑"/>
                <w:color w:val="000000"/>
                <w:sz w:val="20"/>
                <w:szCs w:val="20"/>
              </w:rPr>
              <w:t xml:space="preserve">西双版纳</w:t>
            </w:r>
          </w:p>
        </w:tc>
      </w:tr>
      <w:tr>
        <w:trPr/>
        <w:tc>
          <w:tcPr>
            <w:tcW w:w="10500" w:type="dxa"/>
            <w:gridSpan w:val="2"/>
          </w:tcPr>
          <w:p>
            <w:pPr/>
            <w:r>
              <w:rPr>
                <w:rFonts w:ascii="微软雅黑" w:hAnsi="微软雅黑" w:eastAsia="微软雅黑" w:cs="微软雅黑"/>
                <w:sz w:val="22"/>
                <w:szCs w:val="22"/>
                <w:b/>
                <w:bCs/>
              </w:rPr>
              <w:t xml:space="preserve">D4</w:t>
            </w:r>
          </w:p>
        </w:tc>
      </w:tr>
      <w:tr>
        <w:trPr/>
        <w:tc>
          <w:tcPr>
            <w:tcW w:w="1000" w:type="dxa"/>
          </w:tcPr>
          <w:p>
            <w:pPr>
              <w:pStyle w:val="indent"/>
            </w:pPr>
            <w:r>
              <w:rPr>
                <w:rFonts w:ascii="微软雅黑" w:hAnsi="微软雅黑" w:eastAsia="微软雅黑" w:cs="微软雅黑"/>
                <w:sz w:val="22"/>
                <w:szCs w:val="22"/>
                <w:b/>
                <w:bCs/>
              </w:rPr>
              <w:t xml:space="preserve">行程详情</w:t>
            </w:r>
          </w:p>
        </w:tc>
        <w:tc>
          <w:tcPr>
            <w:tcW w:w="9500" w:type="dxa"/>
          </w:tcPr>
          <w:p>
            <w:pPr>
              <w:pStyle w:val="indent"/>
            </w:pPr>
            <w:r>
              <w:rPr>
                <w:rFonts w:ascii="微软雅黑" w:hAnsi="微软雅黑" w:eastAsia="微软雅黑" w:cs="微软雅黑"/>
                <w:sz w:val="22"/>
                <w:szCs w:val="22"/>
                <w:b/>
                <w:bCs/>
              </w:rPr>
              <w:t xml:space="preserve">
                原始森林公园一花卉园
                <w:br/>
              </w:t>
            </w:r>
          </w:p>
          <w:p>
            <w:pPr>
              <w:pStyle w:val="indent"/>
            </w:pPr>
            <w:r>
              <w:rPr>
                <w:rFonts w:ascii="微软雅黑" w:hAnsi="微软雅黑" w:eastAsia="微软雅黑" w:cs="微软雅黑"/>
                <w:color w:val="000000"/>
                <w:sz w:val="20"/>
                <w:szCs w:val="20"/>
              </w:rPr>
              <w:t xml:space="preserve">
                早餐后游览【原始森林公园】（含往返电瓶车60元/人），原始森林公园在25000 亩热带沟谷雨林的基础上创建，园内森林覆盖率超过 98%，是天然的大氧吧，也是保存最完整的一片原始森林，融汇了独特的原始森林自然风光和迷人的民族风情。园内有孔雀飞舞，各种民俗歌舞，有古老的爱伲山寨，在这里聆听金湖美丽的爱情故事。有美丽的孔雀放飞表演节目，欣赏数百只孔雀飞舞的奇观，在沟谷雨林悠然漫步，体验雨林环抱中的绿色生活。
                <w:br/>
                【西双版纳热带花卉园】（游览时间120分钟）位于景洪市城区的云南省热带作物科学研究所内，占地80公顷，是西双版纳风景名胜区的主要景点之一。现为AAAA级景点 ，热带花卉园通过热带花卉以及热带植物的园林景观展示科普内涵，是集科研、科普、爱国主义教育、旅游观光、休闲度假等多功能为一体的主题公园。
                <w:br/>
              </w:t>
            </w:r>
          </w:p>
        </w:tc>
      </w:tr>
      <w:tr>
        <w:trPr/>
        <w:tc>
          <w:tcPr>
            <w:tcW w:w="1000" w:type="dxa"/>
          </w:tcPr>
          <w:p>
            <w:pPr>
              <w:pStyle w:val="indent"/>
            </w:pPr>
            <w:r>
              <w:rPr>
                <w:rFonts w:ascii="微软雅黑" w:hAnsi="微软雅黑" w:eastAsia="微软雅黑" w:cs="微软雅黑"/>
                <w:sz w:val="22"/>
                <w:szCs w:val="22"/>
                <w:b/>
                <w:bCs/>
              </w:rPr>
              <w:t xml:space="preserve">用餐</w:t>
            </w:r>
          </w:p>
        </w:tc>
        <w:tc>
          <w:tcPr>
            <w:tcW w:w="9500" w:type="dxa"/>
          </w:tcPr>
          <w:p>
            <w:pPr>
              <w:pStyle w:val="indent"/>
            </w:pPr>
            <w:r>
              <w:rPr>
                <w:rFonts w:ascii="微软雅黑" w:hAnsi="微软雅黑" w:eastAsia="微软雅黑" w:cs="微软雅黑"/>
                <w:color w:val="000000"/>
                <w:sz w:val="20"/>
                <w:szCs w:val="20"/>
              </w:rPr>
              <w:t xml:space="preserve">早餐：√     午餐：√     晚餐：X   </w:t>
            </w:r>
          </w:p>
        </w:tc>
      </w:tr>
      <w:tr>
        <w:trPr/>
        <w:tc>
          <w:tcPr>
            <w:tcW w:w="1000" w:type="dxa"/>
          </w:tcPr>
          <w:p>
            <w:pPr>
              <w:pStyle w:val="indent"/>
            </w:pPr>
            <w:r>
              <w:rPr>
                <w:rFonts w:ascii="微软雅黑" w:hAnsi="微软雅黑" w:eastAsia="微软雅黑" w:cs="微软雅黑"/>
                <w:sz w:val="22"/>
                <w:szCs w:val="22"/>
                <w:b/>
                <w:bCs/>
              </w:rPr>
              <w:t xml:space="preserve">住宿</w:t>
            </w:r>
          </w:p>
        </w:tc>
        <w:tc>
          <w:tcPr>
            <w:tcW w:w="9500" w:type="dxa"/>
          </w:tcPr>
          <w:p>
            <w:pPr>
              <w:pStyle w:val="indent"/>
            </w:pPr>
            <w:r>
              <w:rPr>
                <w:rFonts w:ascii="微软雅黑" w:hAnsi="微软雅黑" w:eastAsia="微软雅黑" w:cs="微软雅黑"/>
                <w:color w:val="000000"/>
                <w:sz w:val="20"/>
                <w:szCs w:val="20"/>
              </w:rPr>
              <w:t xml:space="preserve">西双版纳</w:t>
            </w:r>
          </w:p>
        </w:tc>
      </w:tr>
      <w:tr>
        <w:trPr/>
        <w:tc>
          <w:tcPr>
            <w:tcW w:w="10500" w:type="dxa"/>
            <w:gridSpan w:val="2"/>
          </w:tcPr>
          <w:p>
            <w:pPr/>
            <w:r>
              <w:rPr>
                <w:rFonts w:ascii="微软雅黑" w:hAnsi="微软雅黑" w:eastAsia="微软雅黑" w:cs="微软雅黑"/>
                <w:sz w:val="22"/>
                <w:szCs w:val="22"/>
                <w:b/>
                <w:bCs/>
              </w:rPr>
              <w:t xml:space="preserve">D5</w:t>
            </w:r>
          </w:p>
        </w:tc>
      </w:tr>
      <w:tr>
        <w:trPr/>
        <w:tc>
          <w:tcPr>
            <w:tcW w:w="1000" w:type="dxa"/>
          </w:tcPr>
          <w:p>
            <w:pPr>
              <w:pStyle w:val="indent"/>
            </w:pPr>
            <w:r>
              <w:rPr>
                <w:rFonts w:ascii="微软雅黑" w:hAnsi="微软雅黑" w:eastAsia="微软雅黑" w:cs="微软雅黑"/>
                <w:sz w:val="22"/>
                <w:szCs w:val="22"/>
                <w:b/>
                <w:bCs/>
              </w:rPr>
              <w:t xml:space="preserve">行程详情</w:t>
            </w:r>
          </w:p>
        </w:tc>
        <w:tc>
          <w:tcPr>
            <w:tcW w:w="9500" w:type="dxa"/>
          </w:tcPr>
          <w:p>
            <w:pPr>
              <w:pStyle w:val="indent"/>
            </w:pPr>
            <w:r>
              <w:rPr>
                <w:rFonts w:ascii="微软雅黑" w:hAnsi="微软雅黑" w:eastAsia="微软雅黑" w:cs="微软雅黑"/>
                <w:sz w:val="22"/>
                <w:szCs w:val="22"/>
                <w:b/>
                <w:bCs/>
              </w:rPr>
              <w:t xml:space="preserve">
                傣家村寨一曼听公园(网红白塔打卡)一六国水上市场
                <w:br/>
              </w:t>
            </w:r>
          </w:p>
          <w:p>
            <w:pPr>
              <w:pStyle w:val="indent"/>
            </w:pPr>
            <w:r>
              <w:rPr>
                <w:rFonts w:ascii="微软雅黑" w:hAnsi="微软雅黑" w:eastAsia="微软雅黑" w:cs="微软雅黑"/>
                <w:color w:val="000000"/>
                <w:sz w:val="20"/>
                <w:szCs w:val="20"/>
              </w:rPr>
              <w:t xml:space="preserve">
                早餐后，乘车前往，参观【傣家村寨】（游览时间约120分钟）,村寨为典型的傣族村寨，房屋建筑为"干栏"式竹楼，户与户之间竹篱为栏，自成院落。四周多种植椰子、香蕉、竹林等果木，处处部部葱葱，一派亚热带的风光和异国情调。
                <w:br/>
                游览【曼听公园】（游览时间120分钟），景区集中体现了“傣王室文化、佛教文化、傣民俗文化”三大主题特色。曼听公园是西双版纳最古老的公园，傣族习惯把她叫做“春欢”，意为“灵魂之园”。
                <w:br/>
                后前往拥有老挝、柬埔寨、泰国、越南、缅甸等国特色建筑的【六国水上市场】（游览时间120分钟），感受东南亚各国融汇于一体的独特风情。
                <w:br/>
              </w:t>
            </w:r>
          </w:p>
        </w:tc>
      </w:tr>
      <w:tr>
        <w:trPr/>
        <w:tc>
          <w:tcPr>
            <w:tcW w:w="1000" w:type="dxa"/>
          </w:tcPr>
          <w:p>
            <w:pPr>
              <w:pStyle w:val="indent"/>
            </w:pPr>
            <w:r>
              <w:rPr>
                <w:rFonts w:ascii="微软雅黑" w:hAnsi="微软雅黑" w:eastAsia="微软雅黑" w:cs="微软雅黑"/>
                <w:sz w:val="22"/>
                <w:szCs w:val="22"/>
                <w:b/>
                <w:bCs/>
              </w:rPr>
              <w:t xml:space="preserve">用餐</w:t>
            </w:r>
          </w:p>
        </w:tc>
        <w:tc>
          <w:tcPr>
            <w:tcW w:w="9500" w:type="dxa"/>
          </w:tcPr>
          <w:p>
            <w:pPr>
              <w:pStyle w:val="indent"/>
            </w:pPr>
            <w:r>
              <w:rPr>
                <w:rFonts w:ascii="微软雅黑" w:hAnsi="微软雅黑" w:eastAsia="微软雅黑" w:cs="微软雅黑"/>
                <w:color w:val="000000"/>
                <w:sz w:val="20"/>
                <w:szCs w:val="20"/>
              </w:rPr>
              <w:t xml:space="preserve">早餐：√     午餐：√     晚餐：X   </w:t>
            </w:r>
          </w:p>
        </w:tc>
      </w:tr>
      <w:tr>
        <w:trPr/>
        <w:tc>
          <w:tcPr>
            <w:tcW w:w="1000" w:type="dxa"/>
          </w:tcPr>
          <w:p>
            <w:pPr>
              <w:pStyle w:val="indent"/>
            </w:pPr>
            <w:r>
              <w:rPr>
                <w:rFonts w:ascii="微软雅黑" w:hAnsi="微软雅黑" w:eastAsia="微软雅黑" w:cs="微软雅黑"/>
                <w:sz w:val="22"/>
                <w:szCs w:val="22"/>
                <w:b/>
                <w:bCs/>
              </w:rPr>
              <w:t xml:space="preserve">住宿</w:t>
            </w:r>
          </w:p>
        </w:tc>
        <w:tc>
          <w:tcPr>
            <w:tcW w:w="9500" w:type="dxa"/>
          </w:tcPr>
          <w:p>
            <w:pPr>
              <w:pStyle w:val="indent"/>
            </w:pPr>
            <w:r>
              <w:rPr>
                <w:rFonts w:ascii="微软雅黑" w:hAnsi="微软雅黑" w:eastAsia="微软雅黑" w:cs="微软雅黑"/>
                <w:color w:val="000000"/>
                <w:sz w:val="20"/>
                <w:szCs w:val="20"/>
              </w:rPr>
              <w:t xml:space="preserve">西双版纳</w:t>
            </w:r>
          </w:p>
        </w:tc>
      </w:tr>
      <w:tr>
        <w:trPr/>
        <w:tc>
          <w:tcPr>
            <w:tcW w:w="10500" w:type="dxa"/>
            <w:gridSpan w:val="2"/>
          </w:tcPr>
          <w:p>
            <w:pPr/>
            <w:r>
              <w:rPr>
                <w:rFonts w:ascii="微软雅黑" w:hAnsi="微软雅黑" w:eastAsia="微软雅黑" w:cs="微软雅黑"/>
                <w:sz w:val="22"/>
                <w:szCs w:val="22"/>
                <w:b/>
                <w:bCs/>
              </w:rPr>
              <w:t xml:space="preserve">D6</w:t>
            </w:r>
          </w:p>
        </w:tc>
      </w:tr>
      <w:tr>
        <w:trPr/>
        <w:tc>
          <w:tcPr>
            <w:tcW w:w="1000" w:type="dxa"/>
          </w:tcPr>
          <w:p>
            <w:pPr>
              <w:pStyle w:val="indent"/>
            </w:pPr>
            <w:r>
              <w:rPr>
                <w:rFonts w:ascii="微软雅黑" w:hAnsi="微软雅黑" w:eastAsia="微软雅黑" w:cs="微软雅黑"/>
                <w:sz w:val="22"/>
                <w:szCs w:val="22"/>
                <w:b/>
                <w:bCs/>
              </w:rPr>
              <w:t xml:space="preserve">行程详情</w:t>
            </w:r>
          </w:p>
        </w:tc>
        <w:tc>
          <w:tcPr>
            <w:tcW w:w="9500" w:type="dxa"/>
          </w:tcPr>
          <w:p>
            <w:pPr>
              <w:pStyle w:val="indent"/>
            </w:pPr>
            <w:r>
              <w:rPr>
                <w:rFonts w:ascii="微软雅黑" w:hAnsi="微软雅黑" w:eastAsia="微软雅黑" w:cs="微软雅黑"/>
                <w:sz w:val="22"/>
                <w:szCs w:val="22"/>
                <w:b/>
                <w:bCs/>
              </w:rPr>
              <w:t xml:space="preserve">
                自由活动  版纳回银川
                <w:br/>
              </w:t>
            </w:r>
          </w:p>
          <w:p>
            <w:pPr>
              <w:pStyle w:val="indent"/>
            </w:pPr>
            <w:r>
              <w:rPr>
                <w:rFonts w:ascii="微软雅黑" w:hAnsi="微软雅黑" w:eastAsia="微软雅黑" w:cs="微软雅黑"/>
                <w:color w:val="000000"/>
                <w:sz w:val="20"/>
                <w:szCs w:val="20"/>
              </w:rPr>
              <w:t xml:space="preserve">
                早上睡到自然醒，自由活动，悠闲感受版纳好时光，随后根据航班时间送至机场，办理完登机手续后，返回温馨的家，美丽的七彩云南欢迎您再来！
                <w:br/>
                西双版纳--银川  GJ6074  16：05----19:15
                <w:br/>
              </w:t>
            </w:r>
          </w:p>
        </w:tc>
      </w:tr>
      <w:tr>
        <w:trPr/>
        <w:tc>
          <w:tcPr>
            <w:tcW w:w="1000" w:type="dxa"/>
          </w:tcPr>
          <w:p>
            <w:pPr>
              <w:pStyle w:val="indent"/>
            </w:pPr>
            <w:r>
              <w:rPr>
                <w:rFonts w:ascii="微软雅黑" w:hAnsi="微软雅黑" w:eastAsia="微软雅黑" w:cs="微软雅黑"/>
                <w:sz w:val="22"/>
                <w:szCs w:val="22"/>
                <w:b/>
                <w:bCs/>
              </w:rPr>
              <w:t xml:space="preserve">用餐</w:t>
            </w:r>
          </w:p>
        </w:tc>
        <w:tc>
          <w:tcPr>
            <w:tcW w:w="9500" w:type="dxa"/>
          </w:tcPr>
          <w:p>
            <w:pPr>
              <w:pStyle w:val="indent"/>
            </w:pPr>
            <w:r>
              <w:rPr>
                <w:rFonts w:ascii="微软雅黑" w:hAnsi="微软雅黑" w:eastAsia="微软雅黑" w:cs="微软雅黑"/>
                <w:color w:val="000000"/>
                <w:sz w:val="20"/>
                <w:szCs w:val="20"/>
              </w:rPr>
              <w:t xml:space="preserve">早餐：√     午餐：X     晚餐：X   </w:t>
            </w:r>
          </w:p>
        </w:tc>
      </w:tr>
      <w:tr>
        <w:trPr/>
        <w:tc>
          <w:tcPr>
            <w:tcW w:w="1000" w:type="dxa"/>
          </w:tcPr>
          <w:p>
            <w:pPr>
              <w:pStyle w:val="indent"/>
            </w:pPr>
            <w:r>
              <w:rPr>
                <w:rFonts w:ascii="微软雅黑" w:hAnsi="微软雅黑" w:eastAsia="微软雅黑" w:cs="微软雅黑"/>
                <w:sz w:val="22"/>
                <w:szCs w:val="22"/>
                <w:b/>
                <w:bCs/>
              </w:rPr>
              <w:t xml:space="preserve">住宿</w:t>
            </w:r>
          </w:p>
        </w:tc>
        <w:tc>
          <w:tcPr>
            <w:tcW w:w="9500" w:type="dxa"/>
          </w:tcPr>
          <w:p>
            <w:pPr>
              <w:pStyle w:val="indent"/>
            </w:pPr>
            <w:r>
              <w:rPr>
                <w:rFonts w:ascii="微软雅黑" w:hAnsi="微软雅黑" w:eastAsia="微软雅黑" w:cs="微软雅黑"/>
                <w:color w:val="000000"/>
                <w:sz w:val="20"/>
                <w:szCs w:val="20"/>
              </w:rPr>
              <w:t xml:space="preserve">无</w:t>
            </w:r>
          </w:p>
        </w:tc>
      </w:tr>
    </w:tbl>
    <w:p>
      <w:pPr>
        <w:jc w:val="left"/>
        <w:spacing w:before="10" w:after="10"/>
      </w:pPr>
      <w:r>
        <w:rPr>
          <w:rFonts w:ascii="微软雅黑" w:hAnsi="微软雅黑" w:eastAsia="微软雅黑" w:cs="微软雅黑"/>
          <w:sz w:val="22"/>
          <w:szCs w:val="22"/>
          <w:b/>
          <w:bCs/>
        </w:rPr>
        <w:t xml:space="preserve">费用说明</w:t>
      </w:r>
    </w:p>
    <w:tbl>
      <w:tblGrid>
        <w:gridCol w:w="2300" w:type="dxa"/>
        <w:gridCol w:w="8200" w:type="dxa"/>
      </w:tblGrid>
      <w:tblPr>
        <w:tblStyle w:val="lineCost"/>
      </w:tblPr>
      <w:tr>
        <w:trPr/>
        <w:tc>
          <w:tcPr>
            <w:tcW w:w="2300" w:type="dxa"/>
            <w:vAlign w:val="center"/>
            <w:shd w:val="clear" w:fill="efefef"/>
          </w:tcPr>
          <w:p>
            <w:pPr>
              <w:pStyle w:val="center"/>
            </w:pPr>
            <w:r>
              <w:rPr>
                <w:rFonts w:ascii="微软雅黑" w:hAnsi="微软雅黑" w:eastAsia="微软雅黑" w:cs="微软雅黑"/>
                <w:color w:val="000000"/>
                <w:sz w:val="20"/>
                <w:szCs w:val="20"/>
                <w:b/>
                <w:bCs/>
              </w:rPr>
              <w:t xml:space="preserve">费用包含</w:t>
            </w:r>
          </w:p>
        </w:tc>
        <w:tc>
          <w:tcPr>
            <w:tcW w:w="8200" w:type="dxa"/>
            <w:gridSpan w:val="3"/>
          </w:tcPr>
          <w:p>
            <w:pPr>
              <w:pStyle w:val="indent"/>
            </w:pPr>
            <w:r>
              <w:rPr>
                <w:rFonts w:ascii="微软雅黑" w:hAnsi="微软雅黑" w:eastAsia="微软雅黑" w:cs="微软雅黑"/>
                <w:color w:val="000000"/>
                <w:sz w:val="20"/>
                <w:szCs w:val="20"/>
              </w:rPr>
              <w:t xml:space="preserve">
                产品标准：
                <w:br/>
                1、住宿标准：全程铂尔曼酒店2晚+3晚亚朵双人标准间
                <w:br/>
                2、用餐标准：5早/6正、餐标： 50元/人标准，(特色餐：孔雀宴+大象宴+傣味手抓饭) 14人一桌。
                <w:br/>
                3、用车标准：30座正规旅游车。
                <w:br/>
                4、服务标准：行程中所安排导游为持有国家导游资格证
                <w:br/>
                5、安全标准：旅行社为游客购买云南旅游组合保险（旅行社责任险）
                <w:br/>
                6、门票标准：含景点首道门票，因云南实行旅游全包价，所有景区不再享受任何优免退费。
              </w:t>
            </w:r>
          </w:p>
        </w:tc>
      </w:tr>
      <w:tr>
        <w:trPr/>
        <w:tc>
          <w:tcPr>
            <w:tcW w:w="2300" w:type="dxa"/>
            <w:vAlign w:val="center"/>
            <w:shd w:val="clear" w:fill="efefef"/>
          </w:tcPr>
          <w:p>
            <w:pPr>
              <w:pStyle w:val="center"/>
            </w:pPr>
            <w:r>
              <w:rPr>
                <w:rFonts w:ascii="微软雅黑" w:hAnsi="微软雅黑" w:eastAsia="微软雅黑" w:cs="微软雅黑"/>
                <w:color w:val="000000"/>
                <w:sz w:val="20"/>
                <w:szCs w:val="20"/>
                <w:b/>
                <w:bCs/>
              </w:rPr>
              <w:t xml:space="preserve">费用不包含</w:t>
            </w:r>
          </w:p>
        </w:tc>
        <w:tc>
          <w:tcPr>
            <w:tcW w:w="8200" w:type="dxa"/>
            <w:gridSpan w:val="3"/>
          </w:tcPr>
          <w:p>
            <w:pPr>
              <w:pStyle w:val="indent"/>
            </w:pPr>
            <w:r>
              <w:rPr>
                <w:rFonts w:ascii="微软雅黑" w:hAnsi="微软雅黑" w:eastAsia="微软雅黑" w:cs="微软雅黑"/>
                <w:color w:val="000000"/>
                <w:sz w:val="20"/>
                <w:szCs w:val="20"/>
              </w:rPr>
              <w:t xml:space="preserve">
                1.单间差。单间差是指旅游者要求独宿一间客房，或因无其他旅游者与之拼住所产生的费用。酒店可能为此类旅游者提供单床或双床房间。 
                <w:br/>
                2.行程中发生的旅游者个人费用，包括但不限于交通工具上的非免费餐饮费、行李超重费，住宿期间的洗衣、电话、饮料及酒类费，个人娱乐费用，个人伤病医疗费，寻找个人遗失物品的费用及报酬，个人原因造成的赔偿费用。 
                <w:br/>
                3.旅游者因违约、自身过错、自行安排活动期间内行为或自身疾病引起的人身和财产损失。 
                <w:br/>
                4.依据当地风俗向服务人员支付的小费等（由您酌情自行支付）。 
                <w:br/>
                5.不含人身意外伤害保险和其它旅游保险。（温馨提示：中国国旅推荐您至少购买一项旅游保险，购买保险可以为您的旅途提供额外风险保障。） 
                <w:br/>
                6.上述费用包含中未提到的其他一切费用。
              </w:t>
            </w:r>
          </w:p>
        </w:tc>
      </w:tr>
    </w:tbl>
    <w:p>
      <w:pPr>
        <w:jc w:val="left"/>
        <w:spacing w:before="10" w:after="10"/>
      </w:pPr>
      <w:r>
        <w:rPr>
          <w:rFonts w:ascii="微软雅黑" w:hAnsi="微软雅黑" w:eastAsia="微软雅黑" w:cs="微软雅黑"/>
          <w:sz w:val="22"/>
          <w:szCs w:val="22"/>
          <w:b/>
          <w:bCs/>
        </w:rPr>
        <w:t xml:space="preserve">其他说明</w:t>
      </w:r>
    </w:p>
    <w:tbl>
      <w:tblGrid>
        <w:gridCol w:w="2300" w:type="dxa"/>
        <w:gridCol w:w="8200" w:type="dxa"/>
      </w:tblGrid>
      <w:tblPr>
        <w:tblStyle w:val="remark"/>
      </w:tblPr>
      <w:tr>
        <w:trPr/>
        <w:tc>
          <w:tcPr>
            <w:tcW w:w="2300" w:type="dxa"/>
            <w:vAlign w:val="center"/>
            <w:shd w:val="clear" w:fill="efefef"/>
          </w:tcPr>
          <w:p>
            <w:pPr>
              <w:pStyle w:val="center"/>
            </w:pPr>
            <w:r>
              <w:rPr>
                <w:rFonts w:ascii="微软雅黑" w:hAnsi="微软雅黑" w:eastAsia="微软雅黑" w:cs="微软雅黑"/>
                <w:color w:val="000000"/>
                <w:sz w:val="20"/>
                <w:szCs w:val="20"/>
                <w:b/>
                <w:bCs/>
              </w:rPr>
              <w:t xml:space="preserve">预订须知</w:t>
            </w:r>
          </w:p>
        </w:tc>
        <w:tc>
          <w:tcPr>
            <w:tcW w:w="8200" w:type="dxa"/>
          </w:tcPr>
          <w:p>
            <w:pPr>
              <w:pStyle w:val="indent"/>
            </w:pPr>
            <w:r>
              <w:rPr>
                <w:rFonts w:ascii="微软雅黑" w:hAnsi="微软雅黑" w:eastAsia="微软雅黑" w:cs="微软雅黑"/>
                <w:color w:val="000000"/>
                <w:sz w:val="20"/>
                <w:szCs w:val="20"/>
              </w:rPr>
              <w:t xml:space="preserve">
                1.参团说明
                <w:br/>
                （1）70岁（含）以上的老人参团的，须有一名亲友陪同并须签署参团申明。
                <w:br/>
                （2）未满18周岁的未成年人无监护人陪同参团的，须由监护人签署参团申明。
                <w:br/>
                （3）身孕周期在24周（含）以上的孕妇，不得参团；身孕周期在24周以下的，须有一名家属陪同并须签署参团申明。
                <w:br/>
                2．产品说明：中国国旅所属“国旅假期”产品分为：品质之旅、大众假期、联合假期。品质之旅、大众假期为中国国旅独立成团产品；联合假期为与其他旅行社联合发团产品。
                <w:br/>
                3．交通说明：
                <w:br/>
                （1）旅行社旅游产品中所包含的飞机票多为团队经济舱票，依照航空公司规定，不得更改、签转、退票。
                <w:br/>
                （2）包机、火车包列、包船产品所乘交通工具为预先包位，一旦签订旅游合同，即视为出票，如因游客个人原因退团，我社将全额扣除包机（火车包列、包船）票款，请您报名时认真考虑。飞行时间、车程、船程等为预计参考时间，以实际发生时间为准。
                <w:br/>
                （3）如遇国家或航空公司政策性调整机票、燃油附加费等价格，请按调整后的价格补足差价。
                <w:br/>
                4．住宿说明：
                <w:br/>
                （1）凡是旅游主管部门评定的星级酒店，我社均按酒店星级标准进行标注。
                <w:br/>
                （2）对于没有参与星级评定的部分酒店，为便于选择旅游产品，我社酌情直接参照国内外主流酒店预订网站（如携程、艺龙、booking等）的用户网评标准，如5钻（豪华型）、4钻（高档型）、3钻（舒适型）、2钻（经济型及以下）等，并用“赞”进行酒店等级标注。酒店等级标注仅表明在酒店可获得的舒适度，标注等级高的酒店一般会提供更高的舒适度和更完备的设施。酒店的地点、当地市场行情或者其他情况，都会影响到等级标注；相同的等级标注对于不同的城市乃至酒店，会有不同的实际感受。同样等级标注只表示酒店可提供的设施或服务大体相同，但不必然表示完全一致，与实际入住的当地同等级星级酒店标准也略有差别，仅供选择旅游产品时参考。
                <w:br/>
                （3）在旅游旺季或其他特殊原因，凡无法确定准确的住宿场所名称或酒店等级的，我社均填写了参考候选住宿场所名称。但所列酒店名称范围仅供参考，最终以《出团通知》为准，保证酒店同级。
                <w:br/>
                （4）在签署本旅游合同时，因特殊原因，对个别无法确定住宿场所名称、等级的，我社可能会根据旅游产品的具体情况，注明可以确保的入住场所房间类型，如：双方标准间；双人大床房等。
                <w:br/>
                （5）一般情况下，产品报价中所含房费按双人标准间/2人核算。如要求三人间或加床，需视入住酒店房型及预订情况而定
              </w:t>
            </w:r>
          </w:p>
        </w:tc>
      </w:tr>
      <w:tr>
        <w:trPr/>
        <w:tc>
          <w:tcPr>
            <w:tcW w:w="2300" w:type="dxa"/>
            <w:vAlign w:val="center"/>
            <w:shd w:val="clear" w:fill="efefef"/>
          </w:tcPr>
          <w:p>
            <w:pPr>
              <w:pStyle w:val="center"/>
            </w:pPr>
            <w:r>
              <w:rPr>
                <w:rFonts w:ascii="微软雅黑" w:hAnsi="微软雅黑" w:eastAsia="微软雅黑" w:cs="微软雅黑"/>
                <w:color w:val="000000"/>
                <w:sz w:val="20"/>
                <w:szCs w:val="20"/>
                <w:b/>
                <w:bCs/>
              </w:rPr>
              <w:t xml:space="preserve">温馨提示</w:t>
            </w:r>
          </w:p>
        </w:tc>
        <w:tc>
          <w:tcPr>
            <w:tcW w:w="8200" w:type="dxa"/>
          </w:tcPr>
          <w:p>
            <w:pPr>
              <w:pStyle w:val="indent"/>
            </w:pPr>
            <w:r>
              <w:rPr>
                <w:rFonts w:ascii="微软雅黑" w:hAnsi="微软雅黑" w:eastAsia="微软雅黑" w:cs="微软雅黑"/>
                <w:color w:val="000000"/>
                <w:sz w:val="20"/>
                <w:szCs w:val="20"/>
              </w:rPr>
              <w:t xml:space="preserve">
                1. 出行需携带有效身份证原件；
                <w:br/>
                2. 我社保留在景点不变的前提下适当调整行程顺序的权利
                <w:br/>
                3. 因天气、自然灾害、政府政策性、军事等人力不可抗拒因素，导致的交通延误或滞留所造成的一切损失及后果，本公司不承担任何费用和法律责任。造成行程时间延误或增加费用，游客自付，造成景点不能游览的，旅行社只负责退门票的协议价。
                <w:br/>
                4. 行程中注明“自由活动”期间客人需注意财产人身安全，自由活动期间安全责任客人自负； 
                <w:br/>
                5. 此团为综合包价产品，所有证件均不退费；
                <w:br/>
                6. 游客应遵守团队纪律、配合领队、导游工作。因自身疾病等原因不能随团前行，需书面申请并经领队、导游签字同意，如未经书面同意而擅自离团，所造成的人身和财产损失，旅行社概不承担责任。旅游行程中外出游玩请结伴同行。
                <w:br/>
                7. 游客在旅游过程中应尊重旅游地的风土人情和民族习俗，维护环境卫生，遵守公共秩序，保护生态环境和文物古迹，尊重他人，以礼待人。
                <w:br/>
                8. 未成年人参加旅游活动，须事先征得旅行社同意，并由法定监护人陪同出游。监护人负责未成年人在旅游过程中的安全问题。
                <w:br/>
                9、中老年人尤其是患病者，须如实向旅行社提供健康信息，并根据自己的健康状况量力而行。如感觉身体不适，请马上告知导游。因中老年游客身体原因产生的一切后果与责任，旅行社概不承担。各地宾馆设施均有差异，如浴室内无防滑垫，洗澡时请特别注意安全，防止滑倒。
                <w:br/>
                10、客人在旅游过程中认真填写当地旅游意见单，回团后如有投诉本社以客人所签意见单为准。
              </w:t>
            </w:r>
          </w:p>
        </w:tc>
      </w:tr>
      <w:tr>
        <w:trPr/>
        <w:tc>
          <w:tcPr>
            <w:tcW w:w="2300" w:type="dxa"/>
            <w:vAlign w:val="center"/>
            <w:shd w:val="clear" w:fill="efefef"/>
          </w:tcPr>
          <w:p>
            <w:pPr>
              <w:pStyle w:val="center"/>
            </w:pPr>
            <w:r>
              <w:rPr>
                <w:rFonts w:ascii="微软雅黑" w:hAnsi="微软雅黑" w:eastAsia="微软雅黑" w:cs="微软雅黑"/>
                <w:color w:val="000000"/>
                <w:sz w:val="20"/>
                <w:szCs w:val="20"/>
                <w:b/>
                <w:bCs/>
              </w:rPr>
              <w:t xml:space="preserve">退改规则</w:t>
            </w:r>
          </w:p>
        </w:tc>
        <w:tc>
          <w:tcPr>
            <w:tcW w:w="8200" w:type="dxa"/>
          </w:tcPr>
          <w:p>
            <w:pPr>
              <w:pStyle w:val="indent"/>
            </w:pPr>
            <w:r>
              <w:rPr>
                <w:rFonts w:ascii="微软雅黑" w:hAnsi="微软雅黑" w:eastAsia="微软雅黑" w:cs="微软雅黑"/>
                <w:color w:val="000000"/>
                <w:sz w:val="20"/>
                <w:szCs w:val="20"/>
              </w:rPr>
              <w:t xml:space="preserve">
                旅游者在行程开始前30日以内提出解除合同或者按照本合同第十二条第2款约定由出境社在行程开始前解除合同的，按下列标准扣除必要的费用：
                <w:br/>
                <w:br/>
                行程开始前29日至15日，按旅游费用总额的5%；
                <w:br/>
                <w:br/>
                行程开始前14日至7日，按旅游费用总额的20%；
                <w:br/>
                <w:br/>
                行程开始前6日至4日，按旅游费用总额的50%；
                <w:br/>
                <w:br/>
                行程开始前3日至1日，按旅游费用总额的60%；
                <w:br/>
                <w:br/>
                行程开始当日，按旅游费用总额的70%。
              </w:t>
            </w:r>
          </w:p>
        </w:tc>
      </w:tr>
    </w:tbl>
    <w:sectPr>
      <w:footerReference w:type="default" r:id="rId8"/>
      <w:pgSz w:orient="portrait" w:w="11905.511811023622" w:h="16837.79527559055"/>
      <w:pgMar w:top="700" w:right="700" w:bottom="700" w:left="700" w:header="720" w:footer="2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rPr>
        <w:rFonts w:ascii="微软雅黑" w:hAnsi="微软雅黑" w:eastAsia="微软雅黑" w:cs="微软雅黑"/>
        <w:color w:val="666666"/>
        <w:sz w:val="22"/>
        <w:szCs w:val="22"/>
      </w:rPr>
      <w:t xml:space="preserve">http://erp.cncn.net                                                       打印日期：2024-03-05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pStyle">
    <w:name w:val="pStyle"/>
    <w:basedOn w:val="Normal"/>
    <w:pPr>
      <w:jc w:val="center"/>
      <w:spacing w:before="100" w:after="100"/>
    </w:pPr>
  </w:style>
  <w:style w:type="paragraph" w:customStyle="1" w:styleId="center">
    <w:name w:val="center"/>
    <w:basedOn w:val="Normal"/>
    <w:pPr>
      <w:jc w:val="center"/>
    </w:pPr>
  </w:style>
  <w:style w:type="paragraph" w:customStyle="1" w:styleId="indent">
    <w:name w:val="indent"/>
    <w:basedOn w:val="Normal"/>
    <w:pPr>
      <w:ind w:left="72" w:right="0"/>
    </w:pPr>
  </w:style>
  <w:style w:type="paragraph" w:customStyle="1" w:styleId="right">
    <w:name w:val="right"/>
    <w:basedOn w:val="Normal"/>
    <w:pPr>
      <w:jc w:val="right"/>
      <w:ind w:left="0" w:right="50"/>
    </w:pPr>
  </w:style>
  <w:style w:type="table" w:customStyle="1" w:styleId="myOwnTableStyle">
    <w:name w:val="myOwnTableStyle"/>
    <w:uiPriority w:val="99"/>
    <w:tblPr>
      <w:jc w:val="center"/>
      <w:tblW w:w="0" w:type="auto"/>
      <w:tblCellMar>
        <w:top w:w="0" w:type="dxa"/>
        <w:left w:w="0" w:type="dxa"/>
        <w:right w:w="0" w:type="dxa"/>
        <w:bottom w:w="0" w:type="dxa"/>
      </w:tblCellMar>
      <w:tblBorders>
        <w:top w:val="single" w:sz="6" w:color="000"/>
        <w:left w:val="single" w:sz="6" w:color="000"/>
        <w:right w:val="single" w:sz="6" w:color="000"/>
        <w:bottom w:val="single" w:sz="6" w:color="000"/>
        <w:insideH w:val="single" w:sz="6" w:color="000"/>
        <w:insideV w:val="single" w:sz="6" w:color="000"/>
      </w:tblBorders>
    </w:tblPr>
    <w:tblStylePr w:type="firstRow">
      <w:tcPr>
        <w:tblBorders>
          <w:bottom w:val="single" w:sz="0" w:color="000"/>
        </w:tblBorders>
      </w:tcPr>
    </w:tblStylePr>
  </w:style>
  <w:style w:type="table" w:customStyle="1" w:styleId="travel">
    <w:name w:val="travel"/>
    <w:uiPriority w:val="99"/>
    <w:tblPr>
      <w:jc w:val="center"/>
      <w:tblW w:w="0" w:type="auto"/>
      <w:tblCellMar>
        <w:top w:w="0" w:type="dxa"/>
        <w:left w:w="0" w:type="dxa"/>
        <w:right w:w="0" w:type="dxa"/>
        <w:bottom w:w="0" w:type="dxa"/>
      </w:tblCellMar>
      <w:tblBorders>
        <w:top w:val="single" w:sz="6" w:color="000"/>
        <w:left w:val="single" w:sz="6" w:color="000"/>
        <w:right w:val="single" w:sz="6" w:color="000"/>
        <w:bottom w:val="single" w:sz="6" w:color="000"/>
        <w:insideH w:val="single" w:sz="6" w:color="000"/>
        <w:insideV w:val="single" w:sz="6" w:color="000"/>
      </w:tblBorders>
    </w:tblPr>
    <w:tblStylePr w:type="firstRow">
      <w:tcPr>
        <w:tblBorders>
          <w:bottom w:val="single" w:sz="0" w:color="000"/>
        </w:tblBorders>
      </w:tcPr>
    </w:tblStylePr>
  </w:style>
  <w:style w:type="table" w:customStyle="1" w:styleId="lineSchedulings">
    <w:name w:val="lineSchedulings"/>
    <w:uiPriority w:val="99"/>
    <w:tblPr>
      <w:jc w:val="center"/>
      <w:tblW w:w="0" w:type="auto"/>
      <w:tblCellMar>
        <w:top w:w="0" w:type="dxa"/>
        <w:left w:w="0" w:type="dxa"/>
        <w:right w:w="0" w:type="dxa"/>
        <w:bottom w:w="0" w:type="dxa"/>
      </w:tblCellMar>
      <w:tblBorders>
        <w:top w:val="single" w:sz="6" w:color="000"/>
        <w:left w:val="single" w:sz="6" w:color="000"/>
        <w:right w:val="single" w:sz="6" w:color="000"/>
        <w:bottom w:val="single" w:sz="6" w:color="000"/>
        <w:insideH w:val="single" w:sz="6" w:color="000"/>
        <w:insideV w:val="single" w:sz="6" w:color="000"/>
      </w:tblBorders>
    </w:tblPr>
    <w:tblStylePr w:type="firstRow">
      <w:tcPr>
        <w:tblBorders>
          <w:bottom w:val="single" w:sz="0" w:color="000"/>
        </w:tblBorders>
      </w:tcPr>
    </w:tblStylePr>
  </w:style>
  <w:style w:type="table" w:customStyle="1" w:styleId="lineCost">
    <w:name w:val="lineCost"/>
    <w:uiPriority w:val="99"/>
    <w:tblPr>
      <w:jc w:val="center"/>
      <w:tblW w:w="0" w:type="auto"/>
      <w:tblCellMar>
        <w:top w:w="0" w:type="dxa"/>
        <w:left w:w="0" w:type="dxa"/>
        <w:right w:w="0" w:type="dxa"/>
        <w:bottom w:w="0" w:type="dxa"/>
      </w:tblCellMar>
      <w:tblBorders>
        <w:top w:val="single" w:sz="6" w:color="000"/>
        <w:left w:val="single" w:sz="6" w:color="000"/>
        <w:right w:val="single" w:sz="6" w:color="000"/>
        <w:bottom w:val="single" w:sz="6" w:color="000"/>
        <w:insideH w:val="single" w:sz="6" w:color="000"/>
        <w:insideV w:val="single" w:sz="6" w:color="000"/>
      </w:tblBorders>
    </w:tblPr>
    <w:tblStylePr w:type="firstRow">
      <w:tcPr>
        <w:tblBorders>
          <w:bottom w:val="single" w:sz="0" w:color="000"/>
        </w:tblBorders>
      </w:tcPr>
    </w:tblStylePr>
  </w:style>
  <w:style w:type="table" w:customStyle="1" w:styleId="remark">
    <w:name w:val="remark"/>
    <w:uiPriority w:val="99"/>
    <w:tblPr>
      <w:jc w:val="center"/>
      <w:tblW w:w="0" w:type="auto"/>
      <w:tblCellMar>
        <w:top w:w="0" w:type="dxa"/>
        <w:left w:w="0" w:type="dxa"/>
        <w:right w:w="0" w:type="dxa"/>
        <w:bottom w:w="0" w:type="dxa"/>
      </w:tblCellMar>
      <w:tblBorders>
        <w:top w:val="single" w:sz="6" w:color="000"/>
        <w:left w:val="single" w:sz="6" w:color="000"/>
        <w:right w:val="single" w:sz="6" w:color="000"/>
        <w:bottom w:val="single" w:sz="6" w:color="000"/>
        <w:insideH w:val="single" w:sz="6" w:color="000"/>
        <w:insideV w:val="single" w:sz="6" w:color="000"/>
      </w:tblBorders>
    </w:tblPr>
    <w:tblStylePr w:type="firstRow">
      <w:tcPr>
        <w:tblBorders>
          <w:bottom w:val="single" w:sz="0" w:color="000"/>
        </w:tbl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2024-03-05T02:24:28+08:00</dcterms:created>
  <dcterms:modified xsi:type="dcterms:W3CDTF">2024-03-05T02:24:28+08:00</dcterms:modified>
</cp:coreProperties>
</file>

<file path=docProps/custom.xml><?xml version="1.0" encoding="utf-8"?>
<Properties xmlns="http://schemas.openxmlformats.org/officeDocument/2006/custom-properties" xmlns:vt="http://schemas.openxmlformats.org/officeDocument/2006/docPropsVTypes"/>
</file>