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产品评审 · 带批注演示</w:t>
      </w:r>
    </w:p>
    <w:p>
      <w:pPr>
        <w:pStyle w:val="Subtitle"/>
      </w:pPr>
      <w:r>
        <w:t>用来体验正文阅读、批注展示与选区引用。所有内容均为虚构演示材料。</w:t>
      </w:r>
    </w:p>
    <w:p>
      <w:pPr>
        <w:pStyle w:val="Heading1"/>
      </w:pPr>
      <w:r>
        <w:t>01  阅读与引用</w:t>
      </w:r>
    </w:p>
    <w:p>
      <w:r>
        <w:t>打开文档后，用户可以直接阅读正文。划选结束时，</w:t>
      </w:r>
      <w:commentRangeStart w:id="0"/>
      <w:r>
        <w:rPr>
          <w:b/>
        </w:rPr>
        <w:t>先展示所选内容的预览，确认后再加入上下文</w:t>
      </w:r>
      <w:commentRangeEnd w:id="0"/>
      <w:r>
        <w:rPr>
          <w:rStyle w:val="CommentReference"/>
        </w:rPr>
        <w:commentReference w:id="0"/>
      </w:r>
      <w:r>
        <w:t>，让每一次引用都清楚、可控。</w:t>
      </w:r>
    </w:p>
    <w:p>
      <w:r>
        <w:t>复杂问题可能需要引用不同段落，因此应该</w:t>
      </w:r>
      <w:commentRangeStart w:id="1"/>
      <w:r>
        <w:rPr>
          <w:b/>
        </w:rPr>
        <w:t>允许同时保留多个分别确认的引用</w:t>
      </w:r>
      <w:commentRangeEnd w:id="1"/>
      <w:r>
        <w:rPr>
          <w:rStyle w:val="CommentReference"/>
        </w:rPr>
        <w:commentReference w:id="1"/>
      </w:r>
      <w:r>
        <w:t>。后续划选只更新待确认的预览，已经添加的片段继续保留。</w:t>
      </w:r>
    </w:p>
    <w:p>
      <w:pPr>
        <w:pStyle w:val="Heading1"/>
      </w:pPr>
      <w:r>
        <w:t>02  文件与工作区</w:t>
      </w:r>
    </w:p>
    <w:p>
      <w:r>
        <w:t>引用文件时，用户需要知道原始文件在哪里。</w:t>
      </w:r>
      <w:commentRangeStart w:id="2"/>
      <w:r>
        <w:rPr>
          <w:b/>
        </w:rPr>
        <w:t>文件在工作区外时，先询问是否上传</w:t>
      </w:r>
      <w:commentRangeEnd w:id="2"/>
      <w:r>
        <w:rPr>
          <w:rStyle w:val="CommentReference"/>
        </w:rPr>
        <w:commentReference w:id="2"/>
      </w:r>
      <w:r>
        <w:t>；确认后将原文件复制进工作区，原始文件仍然保留。</w:t>
      </w:r>
    </w:p>
    <w:p>
      <w:r>
        <w:t>引用卡片应展示文件名、页码或单元格范围，以及内容摘要。用户可以先检查预览，再决定是否把片段加入上下文。</w:t>
      </w:r>
    </w:p>
    <w:p>
      <w:pPr>
        <w:pStyle w:val="Heading1"/>
      </w:pPr>
      <w:r>
        <w:t>03  可直接划选的示例</w:t>
      </w:r>
    </w:p>
    <w:p>
      <w:r>
        <w:t>示例片段 A：文档阅读是一项连续任务，引用操作应该帮助用户保留思路。</w:t>
      </w:r>
    </w:p>
    <w:p>
      <w:r>
        <w:t>示例片段 B：清楚地展示所选文字，比只显示“Office selection”更容易辨认。</w:t>
      </w:r>
    </w:p>
    <w:p>
      <w:r>
        <w:br w:type="page"/>
      </w:r>
    </w:p>
    <w:p>
      <w:pPr>
        <w:pStyle w:val="Title"/>
      </w:pPr>
      <w:r>
        <w:t>评审检查清单</w:t>
      </w:r>
    </w:p>
    <w:p>
      <w:pPr>
        <w:pStyle w:val="Subtitle"/>
      </w:pPr>
      <w:r>
        <w:t>这一页提供表格与另一组文字，可用于跨页阅读和多片段引用。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</w:tcPr>
          <w:p>
            <w:r>
              <w:t>文件类型</w:t>
            </w:r>
          </w:p>
        </w:tc>
        <w:tc>
          <w:tcPr>
            <w:tcW w:type="dxa" w:w="3175"/>
          </w:tcPr>
          <w:p>
            <w:r>
              <w:t>演示内容</w:t>
            </w:r>
          </w:p>
        </w:tc>
        <w:tc>
          <w:tcPr>
            <w:tcW w:type="dxa" w:w="3175"/>
          </w:tcPr>
          <w:p>
            <w:r>
              <w:t>可检查的行为</w:t>
            </w:r>
          </w:p>
        </w:tc>
      </w:tr>
      <w:tr>
        <w:tc>
          <w:tcPr>
            <w:tcW w:type="dxa" w:w="3175"/>
          </w:tcPr>
          <w:p>
            <w:r>
              <w:t>DOCX</w:t>
            </w:r>
          </w:p>
        </w:tc>
        <w:tc>
          <w:tcPr>
            <w:tcW w:type="dxa" w:w="3175"/>
          </w:tcPr>
          <w:p>
            <w:r>
              <w:t>三条真实批注</w:t>
            </w:r>
          </w:p>
        </w:tc>
        <w:tc>
          <w:tcPr>
            <w:tcW w:type="dxa" w:w="3175"/>
          </w:tcPr>
          <w:p>
            <w:r>
              <w:t>正文与批注能正常展示</w:t>
            </w:r>
          </w:p>
        </w:tc>
      </w:tr>
      <w:tr>
        <w:tc>
          <w:tcPr>
            <w:tcW w:type="dxa" w:w="3175"/>
          </w:tcPr>
          <w:p>
            <w:r>
              <w:t>XLSX</w:t>
            </w:r>
          </w:p>
        </w:tc>
        <w:tc>
          <w:tcPr>
            <w:tcW w:type="dxa" w:w="3175"/>
          </w:tcPr>
          <w:p>
            <w:r>
              <w:t>销售明细与季度汇总</w:t>
            </w:r>
          </w:p>
        </w:tc>
        <w:tc>
          <w:tcPr>
            <w:tcW w:type="dxa" w:w="3175"/>
          </w:tcPr>
          <w:p>
            <w:r>
              <w:t>划选单元格时显示范围和数值</w:t>
            </w:r>
          </w:p>
        </w:tc>
      </w:tr>
      <w:tr>
        <w:tc>
          <w:tcPr>
            <w:tcW w:type="dxa" w:w="3175"/>
          </w:tcPr>
          <w:p>
            <w:r>
              <w:t>PDF</w:t>
            </w:r>
          </w:p>
        </w:tc>
        <w:tc>
          <w:tcPr>
            <w:tcW w:type="dxa" w:w="3175"/>
          </w:tcPr>
          <w:p>
            <w:r>
              <w:t>两页可选中文字</w:t>
            </w:r>
          </w:p>
        </w:tc>
        <w:tc>
          <w:tcPr>
            <w:tcW w:type="dxa" w:w="3175"/>
          </w:tcPr>
          <w:p>
            <w:r>
              <w:t>翻页、搜索、划选与确认引用</w:t>
            </w:r>
          </w:p>
        </w:tc>
      </w:tr>
    </w:tbl>
    <w:p>
      <w:pPr>
        <w:pStyle w:val="Heading1"/>
      </w:pPr>
      <w:r>
        <w:t>阅读练习</w:t>
      </w:r>
    </w:p>
    <w:p>
      <w:r>
        <w:t>先在第一页选中“示例片段 A”，确认加入上下文，再选中第二页的这段说明。两个片段应该分别保留，便于比较来源与内容。</w:t>
      </w:r>
    </w:p>
    <w:p>
      <w:r>
        <w:t>跨页阅读示例：每条引用都需要保留自己的来源位置，用户才能回到原文确认上下文。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产品评审" w:initials="PR" w:date="2026-10-11T17:25:40Z">
    <w:p>
      <w:pPr>
        <w:pStyle w:val="CommentText"/>
      </w:pPr>
      <w:r>
        <w:rPr>
          <w:rStyle w:val="CommentReference"/>
        </w:rPr>
        <w:annotationRef/>
      </w:r>
      <w:r>
        <w:t>建议保留明确的“添加到上下文”和“取消”入口，并在预览中展示实际选中的文字。</w:t>
      </w:r>
    </w:p>
  </w:comment>
  <w:comment w:id="1" w:author="交互设计" w:initials="UX" w:date="2026-10-11T17:25:40Z">
    <w:p>
      <w:pPr>
        <w:pStyle w:val="CommentText"/>
      </w:pPr>
      <w:r>
        <w:rPr>
          <w:rStyle w:val="CommentReference"/>
        </w:rPr>
        <w:annotationRef/>
      </w:r>
      <w:r>
        <w:t>请验证连续引用两个不同片段后，两条引用都会保留；重复添加同一片段时应避免重复。</w:t>
      </w:r>
    </w:p>
  </w:comment>
  <w:comment w:id="2" w:author="体验检查" w:initials="QA" w:date="2026-10-11T17:25:40Z">
    <w:p>
      <w:pPr>
        <w:pStyle w:val="CommentText"/>
      </w:pPr>
      <w:r>
        <w:rPr>
          <w:rStyle w:val="CommentReference"/>
        </w:rPr>
        <w:annotationRef/>
      </w:r>
      <w:r>
        <w:t>这里的确认针对复制原文件。取消上传应保持原来的草稿与文件内容，不产生新的引用。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虚构演示材料  ·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>SeekMoon · Office 文件演示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Noto Sans SC" w:hAnsi="Noto Sans SC" w:eastAsia="Noto Sans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154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2154A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Noto Sans SC" w:hAnsi="Noto Sans SC" w:eastAsia="Noto Sans SC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产品评审演示稿（含三条批注）</dc:title>
  <dc:subject/>
  <dc:creator>演示作者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