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1. Case-crossover sample by state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7"/>
        <w:gridCol w:w="1307"/>
        <w:gridCol w:w="1295"/>
        <w:gridCol w:w="1196"/>
        <w:gridCol w:w="1184"/>
        <w:gridCol w:w="1084"/>
        <w:gridCol w:w="1084"/>
        <w:gridCol w:w="1084"/>
      </w:tblGrid>
      <w:tr>
        <w:trPr>
          <w:trHeight w:val="436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Wisconsin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Iowa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Michigan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Indiana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Ohio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Illinois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Cases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43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(14%)</w:t>
            </w:r>
          </w:p>
        </w:tc>
      </w:tr>
      <w:tr>
        <w:trPr>
          <w:trHeight w:val="43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(57%)</w:t>
            </w:r>
          </w:p>
        </w:tc>
      </w:tr>
      <w:tr>
        <w:trPr>
          <w:trHeight w:val="43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Summer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</w:tr>
      <w:tr>
        <w:trPr>
          <w:trHeight w:val="438" w:hRule="auto"/>
        </w:trPr>
        body 5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 (25%)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(24%)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(10%)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(31%)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(10%)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 (86%)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(29%)</w:t>
            </w:r>
          </w:p>
        </w:tc>
      </w:tr>
      <w:tr>
        <w:trPr>
          <w:trHeight w:val="399" w:hRule="auto"/>
        </w:trPr>
        body 6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Case cells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With 2 or more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97" w:hRule="auto"/>
        </w:trPr>
        body 8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With 3 or more events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438" w:hRule="auto"/>
        </w:trPr>
        body 9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Referent cell-days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1,968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684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173</w:t>
            </w:r>
          </w:p>
        </w:tc>
      </w:tr>
      <w:tr>
        <w:trPr>
          <w:trHeight w:val="436" w:hRule="auto"/>
        </w:trPr>
        body10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Referents per case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trHeight w:val="436" w:hRule="auto"/>
        </w:trPr>
        body11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Total cell-days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2,053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713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538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399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232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167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180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Cells are 10 km grid squares. Referent cell-days are the other days in the same calendar month within the same cell, excluding the 7 days after detection.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2026-09-15T13:33:00Z</dcterms:modified>
  <cp:category/>
</cp:coreProperties>
</file>