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S1. Cumulative and lag-specific rate ratios, both parameterisations, by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9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125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Cumulative rate ratio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Lag-specific rate ratio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P(dir), cumulative</w:t>
            </w:r>
          </w:p>
        </w:tc>
      </w:tr>
      <w:tr>
        <w:trPr>
          <w:trHeight w:val="121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0-7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8-14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15-21 d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22-28 d</w:t>
            </w:r>
          </w:p>
        </w:tc>
      </w:tr>
      <w:tr>
        <w:trPr>
          <w:trHeight w:val="12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1.32 (0.88,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1.18 (0.92,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(0.87,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(0.74,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</w:tr>
      <w:tr>
        <w:trPr>
          <w:trHeight w:val="12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(0.63,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(0.81,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(0.86,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1.21 (0.82,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0.83</w:t>
            </w:r>
          </w:p>
        </w:tc>
      </w:tr>
      <w:tr>
        <w:trPr>
          <w:trHeight w:val="12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1.26 (0.92,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1.19 (0.99,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1.15 (0.97,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1.12 (0.88,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</w:tr>
      <w:tr>
        <w:trPr>
          <w:trHeight w:val="12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</w:tr>
      <w:tr>
        <w:trPr>
          <w:trHeight w:val="12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(0.78,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(0.88,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(0.92,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(0.90,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</w:t>
            </w:r>
          </w:p>
        </w:tc>
      </w:tr>
      <w:tr>
        <w:trPr>
          <w:trHeight w:val="12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0.89 (0.76,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(0.84,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</w:tr>
      <w:tr>
        <w:trPr>
          <w:trHeight w:val="1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0.84 (0.68,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(0.78,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</w:tr>
      <w:tr>
        <w:trPr>
          <w:trHeight w:val="12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0.74 (0.60,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0.84 (0.74,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(0.80,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0.97 (0.95,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0.63</w:t>
            </w:r>
          </w:p>
        </w:tc>
      </w:tr>
      <w:tr>
        <w:trPr>
          <w:trHeight w:val="12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0.81 (0.70, 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0.88 (0.80,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(0.84,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0.98 (0.96,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0.69</w:t>
            </w:r>
          </w:p>
        </w:tc>
      </w:tr>
      <w:tr>
        <w:trPr>
          <w:trHeight w:val="12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(0.87,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(0.86,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</w:tr>
      <w:tr>
        <w:trPr>
          <w:trHeight w:val="12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1.23 (1.02,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(0.94,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0.87 (0.73,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</w:tr>
      <w:tr>
        <w:trPr>
          <w:trHeight w:val="12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1.18 (1.03,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(0.98,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(0.82,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(0.97,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</w:tr>
      <w:tr>
        <w:trPr>
          <w:trHeight w:val="1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(0.82,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</w:tr>
      <w:tr>
        <w:trPr>
          <w:trHeight w:val="12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(0.75,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(0.83,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(0.85,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(0.82,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</w:tr>
      <w:tr>
        <w:trPr>
          <w:trHeight w:val="12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(0.87,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(0.91,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0.57</w:t>
            </w:r>
          </w:p>
        </w:tc>
      </w:tr>
      <w:tr>
        <w:trPr>
          <w:trHeight w:val="12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(0.57,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1.25 (1.05,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1.74 (1.37,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2.42 (1.54, 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1.10 (1.05,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1.16 (1.07,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(0.77,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1.08 (0.94,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1.14 (1.01,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1.21 (0.98,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(1.00,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</w:t>
            </w:r>
          </w:p>
        </w:tc>
      </w:tr>
      <w:tr>
        <w:trPr>
          <w:trHeight w:val="125" w:hRule="auto"/>
        </w:trPr>
        body25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(0.86, 1.32)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1.19 (1.07, 1.32)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1.32 (1.17, 1.49)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1.47 (1.20, 1.80)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1.03 (1.02, 1.05)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(1.03, 1.07)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1.06 (1.03, 1.10)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1" w:hRule="auto"/>
        </w:trPr>
        body26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1.32 (0.88,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(0.86,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(0.68,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 (0.48,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(0.88,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</w:tr>
      <w:tr>
        <w:trPr>
          <w:trHeight w:val="12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(0.67,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(0.79,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(0.66,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</w:tr>
      <w:tr>
        <w:trPr>
          <w:trHeight w:val="12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(0.81,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0.93 (0.76,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(0.63,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</w:tr>
      <w:tr>
        <w:trPr>
          <w:trHeight w:val="12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0.80 (0.56,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0.85 (0.67,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 (0.69,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 (0.67,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(0.94,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0.74</w:t>
            </w:r>
          </w:p>
        </w:tc>
      </w:tr>
      <w:tr>
        <w:trPr>
          <w:trHeight w:val="12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(0.62,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1.11 (0.85,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1.31 (1.01,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1.55 (1.10, 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(0.99,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1.08 (1.02,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</w:tr>
      <w:tr>
        <w:trPr>
          <w:trHeight w:val="12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 (0.61,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(0.76,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(0.84,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1.10 (0.87,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0.78</w:t>
            </w:r>
          </w:p>
        </w:tc>
      </w:tr>
      <w:tr>
        <w:trPr>
          <w:trHeight w:val="12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(0.56, 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0.81 (0.59,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 (0.50,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(0.94,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(0.92,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0.96 (0.89,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</w:t>
            </w:r>
          </w:p>
        </w:tc>
      </w:tr>
      <w:tr>
        <w:trPr>
          <w:trHeight w:val="12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(0.73, 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1.07 (0.82,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(0.77,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(0.66,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0.50</w:t>
            </w:r>
          </w:p>
        </w:tc>
      </w:tr>
      <w:tr>
        <w:trPr>
          <w:trHeight w:val="12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1.13 (0.79,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0.94 (0.74,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(0.92,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0.82</w:t>
            </w:r>
          </w:p>
        </w:tc>
      </w:tr>
      <w:tr>
        <w:trPr>
          <w:trHeight w:val="12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0.89 (0.68,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1.09 (0.86,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(0.98,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0.77</w:t>
            </w:r>
          </w:p>
        </w:tc>
      </w:tr>
      <w:tr>
        <w:trPr>
          <w:trHeight w:val="125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1.08 (0.82,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(0.74,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</w:tr>
      <w:tr>
        <w:trPr>
          <w:trHeight w:val="12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(0.80,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(0.87,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</w:tr>
      <w:tr>
        <w:trPr>
          <w:trHeight w:val="12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(0.69,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(0.81,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1.05 (0.79,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0.64</w:t>
            </w:r>
          </w:p>
        </w:tc>
      </w:tr>
      <w:tr>
        <w:trPr>
          <w:trHeight w:val="12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0.87 (0.53,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0.92 (0.67,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 (0.70,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0.98 (0.65,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0.54</w:t>
            </w:r>
          </w:p>
        </w:tc>
      </w:tr>
      <w:tr>
        <w:trPr>
          <w:trHeight w:val="12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(0.69,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(0.82,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1.06 (0.87,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1.11 (0.85,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(0.96,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0.78</w:t>
            </w:r>
          </w:p>
        </w:tc>
      </w:tr>
      <w:tr>
        <w:trPr>
          <w:trHeight w:val="12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/>
            </w:r>
          </w:p>
        </w:tc>
      </w:tr>
      <w:tr>
        <w:trPr>
          <w:trHeight w:val="12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0.86 (0.60,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1.68 (1.31, 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2.29 (1.47, 3.57)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(0.97,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1.05 (1.02,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1.10 (1.05,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1.15 (1.06,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12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 (0.76,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1.04 (0.91,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1.12 (0.98,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1.19 (0.99,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1.02 (1.00,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0.97</w:t>
            </w:r>
          </w:p>
        </w:tc>
      </w:tr>
      <w:tr>
        <w:trPr>
          <w:trHeight w:val="125" w:hRule="auto"/>
        </w:trPr>
        body50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1.03 (0.85, 1.26)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1.14 (1.03, 1.27)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1.26 (1.12, 1.42)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1.39 (1.15, 1.69)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1.01 (0.99, 1.03)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1.03 (1.01, 1.04)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1.04 (1.02, 1.06)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"/>
                <w:szCs w:val="2"/>
                <w:color w:val="000000"/>
              </w:rPr>
              <w:t xml:space="preserve">1.06 (1.02, 1.09)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0.62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0.99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footer 1
        <w:tc>
          <w:tcPr>
            <w:gridSpan w:val="13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"/>
                <w:szCs w:val="2"/>
                <w:color w:val="000000"/>
              </w:rPr>
              <w:t xml:space="preserve">Conditional Poisson case-crossover fitted in INLA with a free per-stratum intercept. The 90-day shock is the primary parameterisation; absolute conditions are the secondary. Cumulative rate ratios are summed over each lag window; lag-specific rate ratios are read at the last day of the window. Rate ratios are per +0.5 SD of the exposure summed over the lag window. P(dir) is the posterior probability that the effect lies on the side of 1 shown by the point estimate. Bold indicates a 95% credible interval excluding 1.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2026-09-15T15:43:44Z</dcterms:modified>
  <cp:category/>
</cp:coreProperties>
</file>