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z w:val="20"/>
          <w:szCs w:val="20"/>
          <w:color w:val="000000"/>
        </w:rPr>
        <w:t xml:space="preserve">Table S7a. Meteorological effect by waterfowl abundance two to four weeks earlier, by panel</w:t>
      </w:r>
    </w:p>
    <w:tbl xmlns:a="http://schemas.openxmlformats.org/drawingml/2006/main" xmlns:pic="http://schemas.openxmlformats.org/drawingml/2006/picture">
      <w:tblPr>
        <w:tblLayout w:type="fixed"/>
        <w:jc w:val="center"/>
        <w:tblLook w:firstRow="1" w:lastRow="0" w:firstColumn="0" w:lastColumn="0" w:noHBand="0" w:noVBand="1"/>
      </w:tblPr>
      <w:tblGrid>
        <w:gridCol w:w="1159"/>
        <w:gridCol w:w="1080"/>
        <w:gridCol w:w="1080"/>
        <w:gridCol w:w="1080"/>
        <w:gridCol w:w="1080"/>
        <w:gridCol w:w="1080"/>
        <w:gridCol w:w="1080"/>
        <w:gridCol w:w="1080"/>
        <w:gridCol w:w="1080"/>
        <w:gridCol w:w="1080"/>
        <w:gridCol w:w="1080"/>
        <w:gridCol w:w="1080"/>
        <w:gridCol w:w="1080"/>
      </w:tblGrid>
      <w:tr>
        <w:trPr>
          <w:trHeight w:val="125" w:hRule="auto"/>
          <w:tblHeader/>
        </w:trPr>
        header 1
        <w:tc>
          <w:tcPr>
            <w:tcBorders>
              <w:bottom w:val="single" w:sz="12" w:space="0" w:color="666666"/>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 </w:t>
            </w:r>
          </w:p>
        </w:tc>
        <w:tc>
          <w:tcPr>
            <w:gridSpan w:val="4"/>
            <w:tcBorders>
              <w:bottom w:val="single" w:sz="6"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Lag 0-7 days</w:t>
            </w:r>
          </w:p>
        </w:tc>
        <w:tc>
          <w:tcPr>
            <w:gridSpan w:val="4"/>
            <w:tcBorders>
              <w:bottom w:val="single" w:sz="6"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Lag 8-14 days</w:t>
            </w:r>
          </w:p>
        </w:tc>
        <w:tc>
          <w:tcPr>
            <w:gridSpan w:val="4"/>
            <w:tcBorders>
              <w:bottom w:val="single" w:sz="6"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Lag 0-14 days, cumulative</w:t>
            </w:r>
          </w:p>
        </w:tc>
      </w:tr>
      <w:tr>
        <w:trPr>
          <w:trHeight w:val="125"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 </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High</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Low</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High / low</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P(dir)</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High</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Low</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High / low</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P(dir)</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High</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Low</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High / low</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P(dir)</w:t>
            </w:r>
          </w:p>
        </w:tc>
      </w:tr>
      <w:tr>
        <w:trPr>
          <w:trHeight w:val="125"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90-day shock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1.02 (0.62, 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1.39 (0.84, 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0.73 (0.36, 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1.26 (0.76, 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1.13 (0.67, 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1.11 (0.58,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1.29 (0.55, 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1.58 (0.67, 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0.81 (0.28, 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0.65</w:t>
            </w:r>
          </w:p>
        </w:tc>
      </w:tr>
      <w:tr>
        <w:trPr>
          <w:trHeight w:val="125"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Other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1.31 (0.79, 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0.69 (0.42, 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1.89 (1.00, 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1.53 (0.87, 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0.39 (0.21, 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3.93 (1.93, 8.39)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1.99 (0.80, 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0.27 (0.11, 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7.47 (2.54, 21.77)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1.00</w:t>
            </w:r>
          </w:p>
        </w:tc>
      </w:tr>
      <w:tr>
        <w:trPr>
          <w:trHeight w:val="12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All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1.34 (0.92, 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0.98 (0.66, 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1.35 (0.87, 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1.78 (1.21, 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0.58 (0.39, 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3.05 (1.82, 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2.37 (1.29, 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0.57 (0.31, 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4.13 (2.07, 8.21)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1.00</w:t>
            </w:r>
          </w:p>
        </w:tc>
      </w:tr>
      <w:tr>
        <w:trPr>
          <w:trHeight w:val="125"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Precipitation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0.79 (0.62, 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1.11 (0.83, 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0.71 (0.46,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0.60 (0.44, 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1.20 (0.88, 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0.50 (0.30, 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0.48 (0.29, 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1.32 (0.82, 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0.36 (0.16,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0.99</w:t>
            </w:r>
          </w:p>
        </w:tc>
      </w:tr>
      <w:tr>
        <w:trPr>
          <w:trHeight w:val="125"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Other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0.96 (0.71, 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0.85 (0.58, 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1.12 (0.69, 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1.00 (0.69,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0.92 (0.58,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1.09 (0.60, 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0.96 (0.54, 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0.79 (0.37, 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1.23 (0.47, 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0.66</w:t>
            </w:r>
          </w:p>
        </w:tc>
      </w:tr>
      <w:tr>
        <w:trPr>
          <w:trHeight w:val="125"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All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 (0.74, 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0.94 (0.71, 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0.97 (0.67, 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0.75 (0.59, 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1.05 (0.79, 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0.72 (0.47, 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0.68 (0.47, 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0.98 (0.62, 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0.69 (0.37, 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0.86</w:t>
            </w:r>
          </w:p>
        </w:tc>
      </w:tr>
      <w:tr>
        <w:trPr>
          <w:trHeight w:val="121"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Soil moisture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0.82 (0.62,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0.99 (0.73, 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0.83 (0.54, 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0.83 (0.61, 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1.03 (0.77, 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0.79 (0.52, 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0.68 (0.43, 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1.03 (0.65, 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0.66 (0.35, 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0.90</w:t>
            </w:r>
          </w:p>
        </w:tc>
      </w:tr>
      <w:tr>
        <w:trPr>
          <w:trHeight w:val="125"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Other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0.93 (0.73,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0.74 (0.57, 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1.27 (0.91, 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0.87 (0.66, 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0.73 (0.53,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1.21 (0.80, 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0.82 (0.53, 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0.54 (0.34, 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1.52 (0.85, 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0.92</w:t>
            </w:r>
          </w:p>
        </w:tc>
      </w:tr>
      <w:tr>
        <w:trPr>
          <w:trHeight w:val="125"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All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0.95 (0.77, 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0.78 (0.63,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1.21 (0.90, 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0.89 (0.71, 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0.85 (0.67, 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1.04 (0.75, 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0.84 (0.61, 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0.67 (0.47, 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1.27 (0.80,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0.84</w:t>
            </w:r>
          </w:p>
        </w:tc>
      </w:tr>
      <w:tr>
        <w:trPr>
          <w:trHeight w:val="125"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Wind speed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1.00 (0.80, 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1.01 (0.81, 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0.99 (0.73,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1.08 (0.83, 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1.16 (0.90, 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0.93 (0.63,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1.08 (0.69, 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1.16 (0.78, 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0.92 (0.50, 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0.60</w:t>
            </w:r>
          </w:p>
        </w:tc>
      </w:tr>
      <w:tr>
        <w:trPr>
          <w:trHeight w:val="125"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Other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1.01 (0.80, 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1.08 (0.82, 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0.93 (0.67, 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0.96 (0.69,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1.27 (0.95, 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0.76 (0.47,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0.97 (0.60, 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1.38 (0.84, 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0.71 (0.36,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0.84</w:t>
            </w:r>
          </w:p>
        </w:tc>
      </w:tr>
      <w:tr>
        <w:trPr>
          <w:trHeight w:val="125"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All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1.01 (0.85, 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1.06 (0.89, 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0.95 (0.75,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1.08 (0.87,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1.25 (1.02, 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0.86 (0.64,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1.09 (0.78, 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1.33 (0.96, 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0.82 (0.52, 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0.81</w:t>
            </w:r>
          </w:p>
        </w:tc>
      </w:tr>
      <w:tr>
        <w:trPr>
          <w:trHeight w:val="121"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Runoff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1.16 (0.86, 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0.92 (0.69, 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1.27 (0.84, 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1.46 (1.03, 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0.99 (0.70, 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1.48 (0.88, 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1.70 (0.94, 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 (0.51, 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1.86 (0.82, 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0.93</w:t>
            </w:r>
          </w:p>
        </w:tc>
      </w:tr>
      <w:tr>
        <w:trPr>
          <w:trHeight w:val="125"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Other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0.96 (0.74, 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0.92 (0.71,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1.04 (0.72, 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 (0.67, 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0.95 (0.71, 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0.96 (0.63,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0.87 (0.53, 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0.87 (0.55, 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1.00 (0.50, 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0.51</w:t>
            </w:r>
          </w:p>
        </w:tc>
      </w:tr>
      <w:tr>
        <w:trPr>
          <w:trHeight w:val="125" w:hRule="auto"/>
        </w:trPr>
        body21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All northern Mississippi Flyway states</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1.08 (0.86, 1.37)</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0.90 (0.73, 1.13)</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1.20 (0.86, 1.66)</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0.85</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1.19 (0.92, 1.56)</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1.03 (0.81, 1.31)</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1.16 (0.80, 1.68)</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0.78</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1.30 (0.84, 2.01)</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0.93 (0.64, 1.37)</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1.39 (0.77, 2.52)</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0.85</w:t>
            </w:r>
          </w:p>
        </w:tc>
      </w:tr>
      <w:tr>
        <w:trPr>
          <w:trHeight w:val="121" w:hRule="auto"/>
        </w:trPr>
        body22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Absolute conditions</w:t>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1.23 (0.78, 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1.09 (0.70, 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1.12 (0.59, 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1.14 (0.64, 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0.78 (0.48, 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1.47 (0.68, 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1.41 (0.61, 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0.85 (0.42, 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1.66 (0.56, 4.91)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0.82</w:t>
            </w:r>
          </w:p>
        </w:tc>
      </w:tr>
      <w:tr>
        <w:trPr>
          <w:trHeight w:val="125"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Other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0.90 (0.62, 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1.23 (0.90, 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0.73 (0.46, 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1.01 (0.68, 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0.84 (0.58, 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1.21 (0.75, 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 (0.50, 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1.03 (0.65, 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0.88 (0.49, 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0.66</w:t>
            </w:r>
          </w:p>
        </w:tc>
      </w:tr>
      <w:tr>
        <w:trPr>
          <w:trHeight w:val="125"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All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0.96 (0.70, 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1.37 (1.01, 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0.70 (0.45, 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1.12 (0.78, 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0.73 (0.53,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1.55 (0.99, 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1.08 (0.65, 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0.99 (0.65, 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1.09 (0.62, 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0.61</w:t>
            </w:r>
          </w:p>
        </w:tc>
      </w:tr>
      <w:tr>
        <w:trPr>
          <w:trHeight w:val="125"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Precipitation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0.84 (0.55, 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1.07 (0.66, 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0.79 (0.38, 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0.60 (0.38, 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1.05 (0.62, 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0.57 (0.26, 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0.50 (0.23, 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1.13 (0.46, 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0.44 (0.12, 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0.90</w:t>
            </w:r>
          </w:p>
        </w:tc>
      </w:tr>
      <w:tr>
        <w:trPr>
          <w:trHeight w:val="125"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Other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1.02 (0.66, 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0.77 (0.49, 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1.32 (0.72, 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0.93 (0.59, 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0.78 (0.48, 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1.18 (0.64, 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0.94 (0.43, 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0.61 (0.27,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1.56 (0.54, 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0.80</w:t>
            </w:r>
          </w:p>
        </w:tc>
      </w:tr>
      <w:tr>
        <w:trPr>
          <w:trHeight w:val="125"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All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0.98 (0.70, 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0.85 (0.57, 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1.15 (0.67, 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0.73 (0.53, 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0.81 (0.54,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 (0.55, 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0.71 (0.41, 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0.68 (0.35, 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1.04 (0.45, 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0.54</w:t>
            </w:r>
          </w:p>
        </w:tc>
      </w:tr>
      <w:tr>
        <w:trPr>
          <w:trHeight w:val="121"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Soil moisture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0.93 (0.58, 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1.02 (0.60, 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 (0.50, 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 (0.56, 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1.15 (0.64, 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0.78 (0.44, 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0.85 (0.38, 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1.17 (0.46, 2.99)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0.72 (0.31, 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0.78</w:t>
            </w:r>
          </w:p>
        </w:tc>
      </w:tr>
      <w:tr>
        <w:trPr>
          <w:trHeight w:val="125"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Other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1.22 (0.82, 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0.90 (0.57, 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1.36 (0.84, 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1.42 (0.90, 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0.89 (0.55, 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1.59 (0.91, 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1.77 (0.85, 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0.81 (0.37, 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2.17 (1.03, 4.69)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0.98</w:t>
            </w:r>
          </w:p>
        </w:tc>
      </w:tr>
      <w:tr>
        <w:trPr>
          <w:trHeight w:val="125"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All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1.08 (0.76, 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0.93 (0.62, 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1.17 (0.76, 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1.19 (0.81, 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1.00 (0.65, 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1.20 (0.77, 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1.29 (0.72, 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0.92 (0.48, 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1.40 (0.81, 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0.89</w:t>
            </w:r>
          </w:p>
        </w:tc>
      </w:tr>
      <w:tr>
        <w:trPr>
          <w:trHeight w:val="125"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Wind speed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0.92 (0.68, 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0.98 (0.72, 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0.95 (0.62, 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1.02 (0.72, 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1.08 (0.75, 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0.94 (0.57, 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0.95 (0.53, 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1.06 (0.58, 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0.90 (0.39, 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0.60</w:t>
            </w:r>
          </w:p>
        </w:tc>
      </w:tr>
      <w:tr>
        <w:trPr>
          <w:trHeight w:val="125"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Other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1.13 (0.87, 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0.95 (0.70, 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1.19 (0.86, 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1.19 (0.88, 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0.85 (0.61,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1.41 (0.95,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1.34 (0.82, 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0.80 (0.46, 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1.67 (0.93, 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0.96</w:t>
            </w:r>
          </w:p>
        </w:tc>
      </w:tr>
      <w:tr>
        <w:trPr>
          <w:trHeight w:val="125"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All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1.06 (0.85, 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0.95 (0.75,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1.12 (0.82, 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1.15 (0.90, 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0.96 (0.73, 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1.20 (0.85, 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1.22 (0.82, 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0.92 (0.58, 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1.34 (0.78, 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0.86</w:t>
            </w:r>
          </w:p>
        </w:tc>
      </w:tr>
      <w:tr>
        <w:trPr>
          <w:trHeight w:val="121"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Runoff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1.08 (0.69, 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0.90 (0.57, 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1.20 (0.63, 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1.27 (0.77,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0.85 (0.50, 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1.49 (0.72, 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1.38 (0.57, 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0.76 (0.31, 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1.78 (0.51, 6.22)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0.82</w:t>
            </w:r>
          </w:p>
        </w:tc>
      </w:tr>
      <w:tr>
        <w:trPr>
          <w:trHeight w:val="125"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Other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0.98 (0.56, 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0.92 (0.51, 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1.07 (0.48, 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1.01 (0.51, 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0.86 (0.42, 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1.16 (0.42, 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1.00 (0.32, 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0.80 (0.24, 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1.25 (0.23, 6.28)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0.60</w:t>
            </w:r>
          </w:p>
        </w:tc>
      </w:tr>
      <w:tr>
        <w:trPr>
          <w:trHeight w:val="125" w:hRule="auto"/>
        </w:trPr>
        body42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All northern Mississippi Flyway states</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1.10 (0.75, 1.60)</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0.87 (0.57, 1.35)</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1.27 (0.72, 2.20)</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0.79</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1.27 (0.82, 1.97)</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0.81 (0.49, 1.31)</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1.57 (0.85, 2.98)</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0.92</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1.40 (0.68, 2.85)</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0.70 (0.31, 1.65)</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1.99 (0.68, 5.74)</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0.90</w:t>
            </w:r>
          </w:p>
        </w:tc>
      </w:tr>
      <w:tr>
        <w:trPr>
          <w:trHeight w:val="360" w:hRule="auto"/>
        </w:trPr>
        footer 1
        <w:tc>
          <w:tcPr>
            <w:gridSpan w:val="13"/>
            <w:tcBorders>
              <w:bottom w:val="none" w:sz="0" w:space="0" w:color="FFFFFF"/>
              <w:top w:val="single" w:sz="1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Post hoc analysis. The meteorological crossbasis (lag 0-14 days) is multiplied by the standardised Anseriformes abundance at lag 15-28 days, centred within stratum, so the interaction is continuous and the two windows do not overlap; effects are shown at +1 SD (high) and -1 SD (low) of that modifier. Lag bins are estimated independently (strata basis, break at day 8); the 0-14 day column is their cumulative, from the same posterior. Ratio is high divided by low. Same prior as the primary model. Estimates and P(dir) come from 4,000 draws of the joint posterior.</w:t>
            </w:r>
          </w:p>
        </w:tc>
      </w:tr>
    </w:tbl>
    <w:p>
      <w:pPr>
        <w:sectPr>
          <w:pgMar w:header="708" w:bottom="1417" w:top="1417" w:right="1417" w:left="1417" w:footer="708" w:gutter="0"/>
          <w:pgSz w:h="11906" w:w="16838" w:orient="landscape"/>
          <w:type w:val="oddPage"/>
          <w:cols/>
        </w:sectPr>
      </w:pP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fmooney</cp:lastModifiedBy>
  <cp:revision>9</cp:revision>
  <dcterms:created xsi:type="dcterms:W3CDTF">2017-02-28T11:18:00Z</dcterms:created>
  <dcterms:modified xsi:type="dcterms:W3CDTF">2026-09-15T15:43:47Z</dcterms:modified>
  <cp:category/>
</cp:coreProperties>
</file>