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1. Minnesota spillover sample and conditions, by meteorological season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43"/>
        <w:gridCol w:w="1629"/>
        <w:gridCol w:w="1611"/>
        <w:gridCol w:w="1718"/>
        <w:gridCol w:w="1718"/>
        <w:gridCol w:w="1665"/>
      </w:tblGrid>
      <w:tr>
        <w:trPr>
          <w:trHeight w:val="401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Winter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Fall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Year-round</w:t>
            </w:r>
          </w:p>
        </w:tc>
      </w:tr>
      <w:tr>
        <w:trPr>
          <w:trHeight w:val="39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</w:tr>
      <w:tr>
        <w:trPr>
          <w:trHeight w:val="3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Case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73</w:t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Referent cell-days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1,968</w:t>
            </w:r>
          </w:p>
        </w:tc>
      </w:tr>
      <w:tr>
        <w:trPr>
          <w:trHeight w:val="3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Referents per case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23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Temperature (°C),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-9.8 (-16.7, -3.7)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4.0 (-0.1,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22.0 (20.1, 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11.3 (2.8, 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8.5 (-2.5, 19.3)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 (°C),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-10.4 (-13.7, -6.9)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9.9 (7.5, 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7.5 (1.3, 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-9.0 (-12.7, 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-2.8 (-10.6, 8.0)</w:t>
            </w:r>
          </w:p>
        </w:tc>
      </w:tr>
      <w:tr>
        <w:trPr>
          <w:trHeight w:val="401" w:hRule="auto"/>
        </w:trPr>
        body 7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-2.4 (-3.7, -1.1)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 (-3.8, 1.3)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 (-0.1, 1.7)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 (0.7, 1.9)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 (-0.6, 0.3)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Precipitation (mm),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 (0.0, 1.2)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 (0.0, 3.2)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 (0.0, 2.0)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0.8)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 (0.0, 1.5)</w:t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 (% vs 90-day baseline),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 (-18, 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 (-9, 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 (-28,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 (-34, 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 (-24, 23)</w:t>
            </w:r>
          </w:p>
        </w:tc>
      </w:tr>
      <w:tr>
        <w:trPr>
          <w:trHeight w:val="401" w:hRule="auto"/>
        </w:trPr>
        body10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 (-0.2, 0.8)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 (-0.7, 1.7)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 (-1.8, -0.0)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 (-0.9, 0.5)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 (-0.5, 0.3)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Soil moisture (% vol),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34.6 (32.3, 36.3)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37.7 (34.8, 39.8)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26.8 (21.2, 32.0)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30.9 (24.6, 35.4)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33.0 (26.0, 36.4)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 (% vol),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 (-0.8, 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 (-0.9, 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 (-7.9, -1.6)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 (-1.6, 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(-2.1, 2.3)</w:t>
            </w:r>
          </w:p>
        </w:tc>
      </w:tr>
      <w:tr>
        <w:trPr>
          <w:trHeight w:val="401" w:hRule="auto"/>
        </w:trPr>
        body13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 (-1.2, 2.2)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 (0.1, 3.7)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 (-5.0, 0.2)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 (-4.2, 3.4)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 (-2.0, 1.0)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Wind speed (m/s),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 (1.8, 3.9)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 (2.3, 4.8)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 (2.0, 3.6)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 (2.1, 4.1)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 (2.0, 4.0)</w:t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 (m/s),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(-0.4, 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 (-0.3, 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 (-0.8, 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 (-0.1, 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(-0.4, 0.5)</w:t>
            </w:r>
          </w:p>
        </w:tc>
      </w:tr>
      <w:tr>
        <w:trPr>
          <w:trHeight w:val="401" w:hRule="auto"/>
        </w:trPr>
        body16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 (-0.2, 0.4)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0.4 (0.1, 0.7)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 (-0.1, 0.6)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 (-0.1, 0.2)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 (0.0, 0.3)</w:t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Runoff (mm),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 (0.00, 0.08)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0.01)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0.00)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(0.00, 0.01)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 (% vs 90-day baseline), median (IQR)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 (-3, 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 (-2, 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 (-12, -3)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 (-5, 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 (-6, -0)</w:t>
            </w:r>
          </w:p>
        </w:tc>
      </w:tr>
      <w:tr>
        <w:trPr>
          <w:trHeight w:val="401" w:hRule="auto"/>
        </w:trPr>
        body19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25-yr normal, median (95% CrI)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 (-0.04, 0.06)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0.11 (-0.14, 0.35)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-0.18 (-0.36, -0.00)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-0.05 (-0.10, -0.01)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 (-0.11, 0.03)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Anseriformes, median (IQR)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0.0)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15.0 (8.0, 33.6)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 (0.0, 7.8)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 (0.0, 11.8)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 (0.0, 11.3)</w:t>
            </w:r>
          </w:p>
        </w:tc>
      </w:tr>
      <w:tr>
        <w:trPr>
          <w:trHeight w:val="401" w:hRule="auto"/>
        </w:trPr>
        body21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Predators, median (IQR)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 (0.4,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 (0.5, 0.9)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 (0.2,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 (0.3, 0.6)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 (0.3, 0.6)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Case-crossover sample: 85 spillover events in 73 cells; a stratum takes the season of its case day. Conditions are summarised over all cell-days in those 73 cells. The 90-day shock is the mean of the last 7 days minus the mean of the preceding 90; for precipitation and runoff it is a log ratio, shown as percent change. Deviations are from the 1997-2021 weekly normal for that cell, reported as the median across cells with a 95% credible interval from an INLA AR(1) model over day. CrI = credible interval; IQR = interquartile range.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2026-09-15T16:15:13Z</dcterms:modified>
  <cp:category/>
</cp:coreProperties>
</file>