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S4. Referent design, with a negative-control exposure, Minnesota and all states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1080"/>
        <w:gridCol w:w="1180"/>
        <w:gridCol w:w="1121"/>
        <w:gridCol w:w="1121"/>
        <w:gridCol w:w="1121"/>
        <w:gridCol w:w="1121"/>
        <w:gridCol w:w="1121"/>
        <w:gridCol w:w="1121"/>
      </w:tblGrid>
      <w:tr>
        <w:trPr>
          <w:trHeight w:val="218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Design</w:t>
            </w:r>
          </w:p>
        </w:tc>
        <w:tc>
          <w:tcPr>
            <w:gridSpan w:val="6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Rate ratio by exposure</w:t>
            </w:r>
          </w:p>
        </w:tc>
      </w:tr>
      <w:tr>
        <w:trPr>
          <w:trHeight w:val="218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Refs/case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Negative control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Precipitation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Soil moisture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Runoff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Anseriformes</w:t>
            </w:r>
          </w:p>
        </w:tc>
      </w:tr>
      <w:tr>
        <w:trPr>
          <w:trHeight w:val="2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9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2.82 (1.91,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2.31 (1.52, 3.50)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 (0.79,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0.78 (0.61,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0.99 (0.75,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1.18 (0.86,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1.86 (1.21, 2.86)</w:t>
            </w:r>
          </w:p>
        </w:tc>
      </w:tr>
      <w:tr>
        <w:trPr>
          <w:trHeight w:val="2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1.66 (1.16, 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0.78 (0.66,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0.93 (0.79,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(0.89,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1.39 (1.10,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1.64 (1.27, 2.12)</w:t>
            </w:r>
          </w:p>
        </w:tc>
      </w:tr>
      <w:tr>
        <w:trPr>
          <w:trHeight w:val="2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1.28 (1.06,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1.25 (0.90,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0.98 (0.82,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1.22 (0.98,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1.42 (1.10, 1.84)</w:t>
            </w:r>
          </w:p>
        </w:tc>
      </w:tr>
      <w:tr>
        <w:trPr>
          <w:trHeight w:val="21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2.42 (1.54, 3.78)</w:t>
            </w:r>
          </w:p>
        </w:tc>
      </w:tr>
      <w:tr>
        <w:trPr>
          <w:trHeight w:val="2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2.99 (2.26, 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2.60 (1.79, 3.76)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0.96 (0.80,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0.74 (0.61,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1.26 (1.06,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 (0.89,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1.75 (1.34, 2.29)</w:t>
            </w:r>
          </w:p>
        </w:tc>
      </w:tr>
      <w:tr>
        <w:trPr>
          <w:trHeight w:val="2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1.55 (1.19,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0.85 (0.74,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 (0.78,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1.13 (1.01,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1.23 (1.05,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1.43 (1.24, 1.64)</w:t>
            </w:r>
          </w:p>
        </w:tc>
      </w:tr>
      <w:tr>
        <w:trPr>
          <w:trHeight w:val="2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1.37 (1.07,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 (0.85,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 (0.81,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1.11 (0.99,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 (0.92,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1.24 (1.07, 1.44)</w:t>
            </w:r>
          </w:p>
        </w:tc>
      </w:tr>
      <w:tr>
        <w:trPr>
          <w:trHeight w:val="219" w:hRule="auto"/>
        </w:trPr>
        body11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(0.90, 1.42)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1.26 (0.92, 1.70)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 (0.76, 1.05)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0.81 (0.70, 0.94)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1.18 (1.03, 1.35)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1.04 (0.87, 1.25)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1.47 (1.20, 1.80)</w:t>
            </w:r>
          </w:p>
        </w:tc>
      </w:tr>
      <w:tr>
        <w:trPr>
          <w:trHeight w:val="194" w:hRule="auto"/>
        </w:trPr>
        body12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19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2.82 (1.91,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1.35 (0.87,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1.07 (0.71,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 (0.47,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(0.77,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1.25 (0.86,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1.80 (1.30, 2.50)</w:t>
            </w:r>
          </w:p>
        </w:tc>
      </w:tr>
      <w:tr>
        <w:trPr>
          <w:trHeight w:val="21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1.45 (1.02, 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0.55 (0.39,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1.26 (0.82,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1.23 (0.84,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1.75 (1.40, 2.19)</w:t>
            </w:r>
          </w:p>
        </w:tc>
      </w:tr>
      <w:tr>
        <w:trPr>
          <w:trHeight w:val="2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1.28 (1.06,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1.15 (0.85,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 (0.59,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1.31 (0.85,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0.83 (0.64,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 (0.76,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1.46 (1.16, 1.84)</w:t>
            </w:r>
          </w:p>
        </w:tc>
      </w:tr>
      <w:tr>
        <w:trPr>
          <w:trHeight w:val="2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0.86 (0.63,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2.29 (1.47, 3.57)</w:t>
            </w:r>
          </w:p>
        </w:tc>
      </w:tr>
      <w:tr>
        <w:trPr>
          <w:trHeight w:val="2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2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2.99 (2.26, 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1.41 (1.04,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1.12 (0.81,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0.67 (0.45,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1.16 (0.92,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1.09 (0.77,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1.71 (1.35, 2.16)</w:t>
            </w:r>
          </w:p>
        </w:tc>
      </w:tr>
      <w:tr>
        <w:trPr>
          <w:trHeight w:val="2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1.46 (1.14,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0.77 (0.59,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1.20 (0.88,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1.01 (0.82,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1.10 (0.78,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1.46 (1.28, 1.67)</w:t>
            </w:r>
          </w:p>
        </w:tc>
      </w:tr>
      <w:tr>
        <w:trPr>
          <w:trHeight w:val="2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1.15 (0.92,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0.94 (0.73,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1.24 (0.91,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0.92 (0.76,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(0.75,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1.29 (1.12, 1.47)</w:t>
            </w:r>
          </w:p>
        </w:tc>
      </w:tr>
      <w:tr>
        <w:trPr>
          <w:trHeight w:val="219" w:hRule="auto"/>
        </w:trPr>
        body22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23.5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(0.90,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1.06 (0.81, 1.38)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0.81 (0.61, 1.08)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1.13 (0.79, 1.62)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1.00 (0.80, 1.24)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0.97 (0.69, 1.36)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2"/>
                <w:szCs w:val="12"/>
                <w:color w:val="000000"/>
              </w:rPr>
              <w:t xml:space="preserve">1.39 (1.15, 1.69)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2"/>
                <w:szCs w:val="12"/>
                <w:color w:val="000000"/>
              </w:rPr>
              <w:t xml:space="preserve">The negative control is the 25-year climatological normal temperature for that cell and week. It is pure season by construction and cannot cause a 2022 outbreak, so a design that removes season returns 1.00; any departure from 1.00 is residual seasonal confounding. The unidirectional design has fewer cases and 4.0 referents per case, so it is a different panel and its exposure estimates are not strictly comparable with the others. Exposures are shown at lag 0-7 days, except Anseriformes at lag 22-28 days.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2026-09-15T16:14:30Z</dcterms:modified>
  <cp:category/>
</cp:coreProperties>
</file>