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S8. Leave-one-stratum-out cross-validation, by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1"/>
        <w:gridCol w:w="1080"/>
        <w:gridCol w:w="1080"/>
        <w:gridCol w:w="1080"/>
        <w:gridCol w:w="2330"/>
        <w:gridCol w:w="1080"/>
      </w:tblGrid>
      <w:tr>
        <w:trPr>
          <w:trHeight w:val="255" w:hRule="auto"/>
          <w:tblHeader/>
        </w:trPr>
        header1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vs chance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Shock - absolute, per stratum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</w:t>
            </w:r>
          </w:p>
        </w:tc>
      </w:tr>
      <w:tr>
        <w:trPr>
          <w:trHeight w:val="22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-283.3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-2.04</w:t>
            </w:r>
          </w:p>
        </w:tc>
      </w:tr>
      <w:tr>
        <w:trPr>
          <w:trHeight w:val="225" w:hRule="auto"/>
        </w:trPr>
        body3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-266.6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+3.7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</w:t>
            </w:r>
          </w:p>
        </w:tc>
      </w:tr>
      <w:tr>
        <w:trPr>
          <w:trHeight w:val="257" w:hRule="auto"/>
        </w:trPr>
        body4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-306.7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</w:t>
            </w:r>
          </w:p>
        </w:tc>
      </w:tr>
      <w:tr>
        <w:trPr>
          <w:trHeight w:val="225" w:hRule="auto"/>
        </w:trPr>
        body6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-304.0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-15.6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</w:t>
            </w:r>
          </w:p>
        </w:tc>
      </w:tr>
      <w:tr>
        <w:trPr>
          <w:trHeight w:val="255" w:hRule="auto"/>
        </w:trPr>
        body7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5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-585.7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</w:t>
            </w:r>
          </w:p>
        </w:tc>
      </w:tr>
      <w:tr>
        <w:trPr>
          <w:trHeight w:val="225" w:hRule="auto"/>
        </w:trPr>
        body9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-581.0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-22.3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Each stratum is held out in turn, the model refitted on the remainder, and the held-out stratum scored by the log probability assigned to the day the outbreak actually occurred. Score is the total log probability, higher is better. Gain vs chance compares against a model spreading probability evenly across each stratum's candidate days. The paired difference and z compare the two parameterisations stratum by stratum. This is not INLA's CPO, which drops one observation at a time and so is not a stratum hold-out in a conditional model.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2026-09-15T16:14:32Z</dcterms:modified>
  <cp:category/>
</cp:coreProperties>
</file>