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z w:val="20"/>
          <w:szCs w:val="20"/>
          <w:color w:val="000000"/>
        </w:rPr>
        <w:t xml:space="preserve">Table S2. Referent design, with a negative-control exposure, Minnesota and all states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1080"/>
        <w:gridCol w:w="1180"/>
        <w:gridCol w:w="1121"/>
        <w:gridCol w:w="1121"/>
        <w:gridCol w:w="1121"/>
        <w:gridCol w:w="1121"/>
        <w:gridCol w:w="1121"/>
        <w:gridCol w:w="1121"/>
      </w:tblGrid>
      <w:tr>
        <w:trPr>
          <w:trHeight w:val="218" w:hRule="auto"/>
          <w:tblHeader/>
        </w:trPr>
        header 1
        <w:tc>
          <w:tcPr>
            <w:tcBorders>
              <w:bottom w:val="single" w:sz="12" w:space="0" w:color="666666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Design</w:t>
            </w:r>
          </w:p>
        </w:tc>
        <w:tc>
          <w:tcPr>
            <w:gridSpan w:val="6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Rate ratio by exposure</w:t>
            </w:r>
          </w:p>
        </w:tc>
      </w:tr>
      <w:tr>
        <w:trPr>
          <w:trHeight w:val="218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Refs/case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Negative control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Temperature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Precipitation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Soil moisture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Wind speed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Runoff</w:t>
            </w:r>
          </w:p>
        </w:tc>
        <w:tc>
          <w:tcPr>
            <w:tcBorders>
              <w:bottom w:val="single" w:sz="12" w:space="0" w:color="666666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Anseriformes</w:t>
            </w:r>
          </w:p>
        </w:tc>
      </w:tr>
      <w:tr>
        <w:trPr>
          <w:trHeight w:val="2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90-day shock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19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1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2.82 (1.91, 4.15)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2.31 (1.52, 3.50)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 (0.79,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 (0.61,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 (0.75,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 (0.86,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1.86 (1.21, 2.86)</w:t>
            </w:r>
          </w:p>
        </w:tc>
      </w:tr>
      <w:tr>
        <w:trPr>
          <w:trHeight w:val="219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 (0.88,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1.40 (1.09, 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0.87 (0.77,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 (0.85,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 (0.90,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 (0.99,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1.58 (1.26, 1.96)</w:t>
            </w:r>
          </w:p>
        </w:tc>
      </w:tr>
      <w:tr>
        <w:trPr>
          <w:trHeight w:val="21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1.28 (1.06,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 (0.91,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 (0.85,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 (0.87, 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 (0.90,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 (0.96,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1.43 (1.14, 1.79)</w:t>
            </w:r>
          </w:p>
        </w:tc>
      </w:tr>
      <w:tr>
        <w:trPr>
          <w:trHeight w:val="219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 (0.63,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 (0.89,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 (0.81, 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 (0.78,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 (0.90,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 (0.87,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2.11 (1.43, 3.09)</w:t>
            </w:r>
          </w:p>
        </w:tc>
      </w:tr>
      <w:tr>
        <w:trPr>
          <w:trHeight w:val="21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1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2.99 (2.26,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2.60 (1.79, 3.76)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 (0.80,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0.74 (0.61, 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1.26 (1.06, 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 (0.89,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1.75 (1.34, 2.29)</w:t>
            </w:r>
          </w:p>
        </w:tc>
      </w:tr>
      <w:tr>
        <w:trPr>
          <w:trHeight w:val="219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1.31 (1.06,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0.88 (0.79, 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 (0.84,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 (0.97,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1.13 (1.01,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1.43 (1.25, 1.63)</w:t>
            </w:r>
          </w:p>
        </w:tc>
      </w:tr>
      <w:tr>
        <w:trPr>
          <w:trHeight w:val="21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 (1.00, 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 (0.89,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 (0.85,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 (0.97, 1.16)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 (0.95,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1.27 (1.11, 1.46)</w:t>
            </w:r>
          </w:p>
        </w:tc>
      </w:tr>
      <w:tr>
        <w:trPr>
          <w:trHeight w:val="219" w:hRule="auto"/>
        </w:trPr>
        body11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23.5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 (0.90, 1.42)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 (0.89, 1.44)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 (0.81, 1.04)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0.86 (0.76, 0.96)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 (0.99, 1.23)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 (0.91, 1.17)</w:t>
            </w:r>
          </w:p>
        </w:tc>
        <w:tc>
          <w:tcPr>
            <w:tcBorders>
              <w:bottom w:val="single" w:sz="4" w:space="0" w:color="B3B3B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1.48 (1.22, 1.78)</w:t>
            </w:r>
          </w:p>
        </w:tc>
      </w:tr>
      <w:tr>
        <w:trPr>
          <w:trHeight w:val="194" w:hRule="auto"/>
        </w:trPr>
        body12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Absolute conditions</w:t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19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Minnesota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19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2.82 (1.91, 4.15)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 (0.87, 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 (0.71, 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 (0.47,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 (0.77,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 (0.86, 1.82)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1.80 (1.30, 2.50)</w:t>
            </w:r>
          </w:p>
        </w:tc>
      </w:tr>
      <w:tr>
        <w:trPr>
          <w:trHeight w:val="219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 (0.88,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 (0.98, 1.61)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0.70 (0.55, 0.91)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 (0.85,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 (0.80,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 (0.88,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1.66 (1.37, 2.02)</w:t>
            </w:r>
          </w:p>
        </w:tc>
      </w:tr>
      <w:tr>
        <w:trPr>
          <w:trHeight w:val="219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1.28 (1.06,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 (0.86,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 (0.71,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 (0.89, 1.57)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 (0.79, 1.09)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 (0.86,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1.45 (1.19, 1.77)</w:t>
            </w:r>
          </w:p>
        </w:tc>
      </w:tr>
      <w:tr>
        <w:trPr>
          <w:trHeight w:val="219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 (0.63,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 (0.86,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 (0.68,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 (0.69,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 (0.82, 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 (0.82,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1.98 (1.37, 2.87)</w:t>
            </w:r>
          </w:p>
        </w:tc>
      </w:tr>
      <w:tr>
        <w:trPr>
          <w:trHeight w:val="2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24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All northern Mississippi Flyway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Unidirectional, -7 to -28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2.99 (2.26, 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1.41 (1.04, 1.92)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 (0.81, 1.56)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 (0.45, 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 (0.92,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 (0.77, 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1.71 (1.35, 2.16)</w:t>
            </w:r>
          </w:p>
        </w:tc>
      </w:tr>
      <w:tr>
        <w:trPr>
          <w:trHeight w:val="2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Symmetric bidirectional, +/-14 to 28 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 (0.92,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1.30 (1.06, 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0.81 (0.65, 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 (0.89,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 (0.88,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1.46 (1.30, 1.66)</w:t>
            </w:r>
          </w:p>
        </w:tc>
      </w:tr>
      <w:tr>
        <w:trPr>
          <w:trHeight w:val="2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Time-stratified, two-month strata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1.24 (1.08,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 (0.92,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 (0.79,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 (0.93, 1.46)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 (0.84,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 (0.87,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1.30 (1.14, 1.47)</w:t>
            </w:r>
          </w:p>
        </w:tc>
      </w:tr>
      <w:tr>
        <w:trPr>
          <w:trHeight w:val="219" w:hRule="auto"/>
        </w:trPr>
        body22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2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One-month strata, 7-day post exclusion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23.5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 (0.90, 1.42)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 (0.83, 1.29)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 (0.69, 1.07)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 (0.83, 1.37)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 (0.88, 1.17)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 (0.82, 1.21)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1.43 (1.20, 1.71)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The negative control is the 25-year climatological normal temperature for that cell and week. It is pure season by construction and cannot cause a 2022 outbreak, so a design that removes season returns 1.00; any departure from 1.00 is residual seasonal confounding. The unidirectional design has fewer cases and 4.0 referents per case, so it is a different panel and its exposure estimates are not strictly comparable with the others. Exposures are shown at lag 0-7 days, except Anseriformes at lag 22-28 days. Rate ratios are per +0.5 SD of the exposure summed over the lag window. P(dir) is the posterior probability that the effect lies on the side of 1 shown by the point estimate.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fmooney</cp:lastModifiedBy>
  <cp:revision>9</cp:revision>
  <dcterms:created xsi:type="dcterms:W3CDTF">2017-02-28T11:18:00Z</dcterms:created>
  <dcterms:modified xsi:type="dcterms:W3CDTF">2026-09-15T15:43:44Z</dcterms:modified>
  <cp:category/>
</cp:coreProperties>
</file>