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S2. Referent design, with a negative-control exposure, Minnesota and all states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1080"/>
        <w:gridCol w:w="1180"/>
        <w:gridCol w:w="1121"/>
        <w:gridCol w:w="1121"/>
        <w:gridCol w:w="1121"/>
        <w:gridCol w:w="1121"/>
        <w:gridCol w:w="1121"/>
        <w:gridCol w:w="1121"/>
      </w:tblGrid>
      <w:tr>
        <w:trPr>
          <w:trHeight w:val="21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Design</w:t>
            </w:r>
          </w:p>
        </w:tc>
        <w:tc>
          <w:tcPr>
            <w:gridSpan w:val="6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Rate ratio by exposure</w:t>
            </w:r>
          </w:p>
        </w:tc>
      </w:tr>
      <w:tr>
        <w:trPr>
          <w:trHeight w:val="218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Refs/case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Negative control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Precipitation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Soil moisture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Runoff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Anseriformes</w:t>
            </w:r>
          </w:p>
        </w:tc>
      </w:tr>
      <w:tr>
        <w:trPr>
          <w:trHeight w:val="2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2.31 (1.52, 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 (0.61,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 (0.86,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1.86 (1.21, 2.86)</w:t>
            </w:r>
          </w:p>
        </w:tc>
      </w:tr>
      <w:tr>
        <w:trPr>
          <w:trHeight w:val="2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1.40 (1.09,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0.87 (0.77,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(0.85,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 (0.99,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1.58 (1.26, 1.96)</w:t>
            </w:r>
          </w:p>
        </w:tc>
      </w:tr>
      <w:tr>
        <w:trPr>
          <w:trHeight w:val="2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(0.91,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(0.87,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(0.90,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(0.96,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1.43 (1.14, 1.79)</w:t>
            </w:r>
          </w:p>
        </w:tc>
      </w:tr>
      <w:tr>
        <w:trPr>
          <w:trHeight w:val="2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 (0.78,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2.11 (1.43, 3.09)</w:t>
            </w:r>
          </w:p>
        </w:tc>
      </w:tr>
      <w:tr>
        <w:trPr>
          <w:trHeight w:val="2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2.60 (1.79, 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0.74 (0.61,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1.26 (1.06,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(0.89,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1.75 (1.34, 2.29)</w:t>
            </w:r>
          </w:p>
        </w:tc>
      </w:tr>
      <w:tr>
        <w:trPr>
          <w:trHeight w:val="2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1.31 (1.06,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0.88 (0.79,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(0.84,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(0.97,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1.13 (1.01,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1.43 (1.25, 1.63)</w:t>
            </w:r>
          </w:p>
        </w:tc>
      </w:tr>
      <w:tr>
        <w:trPr>
          <w:trHeight w:val="2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1.22 (1.00,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 (0.89,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0.95 (0.85,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(0.97,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(0.95,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1.27 (1.11, 1.46)</w:t>
            </w:r>
          </w:p>
        </w:tc>
      </w:tr>
      <w:tr>
        <w:trPr>
          <w:trHeight w:val="219" w:hRule="auto"/>
        </w:trPr>
        body11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(0.89, 1.44)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(0.81, 1.04)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0.86 (0.76, 0.96)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(0.99, 1.23)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(0.91, 1.17)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1.48 (1.22, 1.78)</w:t>
            </w:r>
          </w:p>
        </w:tc>
      </w:tr>
      <w:tr>
        <w:trPr>
          <w:trHeight w:val="194" w:hRule="auto"/>
        </w:trPr>
        body12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 (0.87,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(0.71,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 (0.47,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(0.86,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1.80 (1.30, 2.50)</w:t>
            </w:r>
          </w:p>
        </w:tc>
      </w:tr>
      <w:tr>
        <w:trPr>
          <w:trHeight w:val="2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(0.98,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0.70 (0.55,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1.14 (0.85,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 (0.80,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 (0.88,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1.66 (1.37, 2.02)</w:t>
            </w:r>
          </w:p>
        </w:tc>
      </w:tr>
      <w:tr>
        <w:trPr>
          <w:trHeight w:val="2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 (0.71,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 (0.89,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 (0.79,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1.45 (1.19, 1.77)</w:t>
            </w:r>
          </w:p>
        </w:tc>
      </w:tr>
      <w:tr>
        <w:trPr>
          <w:trHeight w:val="2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(0.86,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1.98 (1.37, 2.87)</w:t>
            </w:r>
          </w:p>
        </w:tc>
      </w:tr>
      <w:tr>
        <w:trPr>
          <w:trHeight w:val="2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1.41 (1.04,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(0.81,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 (0.45,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(0.92,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 (0.77,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1.71 (1.35, 2.16)</w:t>
            </w:r>
          </w:p>
        </w:tc>
      </w:tr>
      <w:tr>
        <w:trPr>
          <w:trHeight w:val="2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1.30 (1.06,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0.81 (0.65,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(0.89,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(0.88,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1.08 (0.88,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(1.30, 1.66)</w:t>
            </w:r>
          </w:p>
        </w:tc>
      </w:tr>
      <w:tr>
        <w:trPr>
          <w:trHeight w:val="2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 (0.92,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(0.79,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(0.93,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(0.84,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1.30 (1.14, 1.47)</w:t>
            </w:r>
          </w:p>
        </w:tc>
      </w:tr>
      <w:tr>
        <w:trPr>
          <w:trHeight w:val="219" w:hRule="auto"/>
        </w:trPr>
        body22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 (0.83, 1.29)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(0.69, 1.07)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(0.83, 1.37)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(0.88, 1.17)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(0.82, 1.21)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1.43 (1.20, 1.71)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The negative control is the 25-year climatological normal temperature for that cell and week. It is pure season by construction and cannot cause a 2022 outbreak, so a design that removes season returns 1.00; any departure from 1.00 is residual seasonal confounding. The unidirectional design has fewer cases and 4.0 referents per case, so it is a different panel and its exposure estimates are not strictly comparable with the others. Exposures are shown at lag 0-7 days, except Anseriformes at lag 22-28 days.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2026-09-15T15:26:47Z</dcterms:modified>
  <cp:category/>
</cp:coreProperties>
</file>