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S3. Sensitivity to the lag structure (Minnesota)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79"/>
        <w:gridCol w:w="1080"/>
        <w:gridCol w:w="1558"/>
        <w:gridCol w:w="1558"/>
        <w:gridCol w:w="1558"/>
        <w:gridCol w:w="1558"/>
      </w:tblGrid>
      <w:tr>
        <w:trPr>
          <w:trHeight w:val="369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Cumulative rate ratio</w:t>
            </w:r>
          </w:p>
        </w:tc>
      </w:tr>
      <w:tr>
        <w:trPr>
          <w:trHeight w:val="399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dWAIC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0-7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8-14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15-21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22-28 days</w:t>
            </w:r>
          </w:p>
        </w:tc>
      </w:tr>
      <w:tr>
        <w:trPr>
          <w:trHeight w:val="39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1.18 (0.89,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(0.93,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(0.89,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1.26)</w:t>
            </w:r>
          </w:p>
        </w:tc>
      </w:tr>
      <w:tr>
        <w:trPr>
          <w:trHeight w:val="40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(0.81,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(0.86, 1.09)</w:t>
            </w:r>
          </w:p>
        </w:tc>
      </w:tr>
      <w:tr>
        <w:trPr>
          <w:trHeight w:val="40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(0.84,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(0.85,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(0.83, 1.07)</w:t>
            </w:r>
          </w:p>
        </w:tc>
      </w:tr>
      <w:tr>
        <w:trPr>
          <w:trHeight w:val="40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(0.94,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(0.94,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(0.91, 1.13)</w:t>
            </w:r>
          </w:p>
        </w:tc>
      </w:tr>
      <w:tr>
        <w:trPr>
          <w:trHeight w:val="40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(0.87,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(0.84, 1.13)</w:t>
            </w:r>
          </w:p>
        </w:tc>
      </w:tr>
      <w:tr>
        <w:trPr>
          <w:trHeight w:val="40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(0.66,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(1.08,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1.62 (1.32, 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2.11 (1.43, 3.09)</w:t>
            </w:r>
          </w:p>
        </w:tc>
      </w:tr>
      <w:tr>
        <w:trPr>
          <w:trHeight w:val="40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0-14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(0.86,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(0.87,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(0.89,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(0.83,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(0.79,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(0.84,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(0.96,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(0.93,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(0.53,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2.03 (1.27, 3.25)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0-21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(0.81,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(0.91,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(0.87,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(0.84,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(0.83,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(0.83,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(0.80,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(0.95,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(0.92,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(0.85,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(0.94,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(0.94,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0.70 (0.44,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1.41 (1.19, 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2.60 (1.68, 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(0.84,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(0.91,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(0.89,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1.26)</w:t>
            </w:r>
          </w:p>
        </w:tc>
      </w:tr>
      <w:tr>
        <w:trPr>
          <w:trHeight w:val="40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(0.84,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(0.89, 1.13)</w:t>
            </w:r>
          </w:p>
        </w:tc>
      </w:tr>
      <w:tr>
        <w:trPr>
          <w:trHeight w:val="40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(0.78,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(0.82,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(0.84, 1.09)</w:t>
            </w:r>
          </w:p>
        </w:tc>
      </w:tr>
      <w:tr>
        <w:trPr>
          <w:trHeight w:val="40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(0.90,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(0.91, 1.12)</w:t>
            </w:r>
          </w:p>
        </w:tc>
      </w:tr>
      <w:tr>
        <w:trPr>
          <w:trHeight w:val="40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(0.85,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(0.83, 1.09)</w:t>
            </w:r>
          </w:p>
        </w:tc>
      </w:tr>
      <w:tr>
        <w:trPr>
          <w:trHeight w:val="40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0.78 (0.48,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1.40 (1.05, 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1.78 (1.32, 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1.77 (1.12, 2.79)</w:t>
            </w:r>
          </w:p>
        </w:tc>
      </w:tr>
      <w:tr>
        <w:trPr>
          <w:trHeight w:val="40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(0.84,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(0.89,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(0.88,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1.25)</w:t>
            </w:r>
          </w:p>
        </w:tc>
      </w:tr>
      <w:tr>
        <w:trPr>
          <w:trHeight w:val="40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(0.83,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(0.90, 1.13)</w:t>
            </w:r>
          </w:p>
        </w:tc>
      </w:tr>
      <w:tr>
        <w:trPr>
          <w:trHeight w:val="40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(0.80,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(0.81,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(0.81,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(0.86, 1.10)</w:t>
            </w:r>
          </w:p>
        </w:tc>
      </w:tr>
      <w:tr>
        <w:trPr>
          <w:trHeight w:val="40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(0.90,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(0.95,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(0.93,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(0.91, 1.11)</w:t>
            </w:r>
          </w:p>
        </w:tc>
      </w:tr>
      <w:tr>
        <w:trPr>
          <w:trHeight w:val="40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(0.92,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(0.84, 1.08)</w:t>
            </w:r>
          </w:p>
        </w:tc>
      </w:tr>
      <w:tr>
        <w:trPr>
          <w:trHeight w:val="401" w:hRule="auto"/>
        </w:trPr>
        body36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 (0.47, 1.28)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1.33 (0.91, 1.96)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1.89 (1.26, 2.84)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1.68 (1.05, 2.68)</w:t>
            </w:r>
          </w:p>
        </w:tc>
      </w:tr>
      <w:tr>
        <w:trPr>
          <w:trHeight w:val="367" w:hRule="auto"/>
        </w:trPr>
        body37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1.16 (0.86,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(0.89,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(0.65, 1.23)</w:t>
            </w:r>
          </w:p>
        </w:tc>
      </w:tr>
      <w:tr>
        <w:trPr>
          <w:trHeight w:val="40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(0.68,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(0.77,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(0.78,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(0.76, 1.17)</w:t>
            </w:r>
          </w:p>
        </w:tc>
      </w:tr>
      <w:tr>
        <w:trPr>
          <w:trHeight w:val="40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(0.69,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(0.73,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(0.65, 1.13)</w:t>
            </w:r>
          </w:p>
        </w:tc>
      </w:tr>
      <w:tr>
        <w:trPr>
          <w:trHeight w:val="40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(0.82,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(0.91,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(0.90, 1.20)</w:t>
            </w:r>
          </w:p>
        </w:tc>
      </w:tr>
      <w:tr>
        <w:trPr>
          <w:trHeight w:val="40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(0.82,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(0.88,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(0.88,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(0.85, 1.19)</w:t>
            </w:r>
          </w:p>
        </w:tc>
      </w:tr>
      <w:tr>
        <w:trPr>
          <w:trHeight w:val="401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(0.70,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1.24 (1.08,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1.57 (1.27, 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1.98 (1.37, 2.87)</w:t>
            </w:r>
          </w:p>
        </w:tc>
      </w:tr>
      <w:tr>
        <w:trPr>
          <w:trHeight w:val="401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0-14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(0.77,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(0.70,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(0.83,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(0.72,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(0.76,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(0.81,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(0.84,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(0.55,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1.93 (1.24, 3.02)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0-21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(0.79,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(0.84,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(0.72,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(0.73,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(0.70,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(0.70,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(0.79,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(0.72,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(0.83,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(0.89,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(0.91,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0.74 (0.48,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1.36 (1.16,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2.33 (1.53,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(0.84,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(0.82,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(0.77,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(0.68, 1.27)</w:t>
            </w:r>
          </w:p>
        </w:tc>
      </w:tr>
      <w:tr>
        <w:trPr>
          <w:trHeight w:val="401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(0.71,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(0.74,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(0.82, 1.27)</w:t>
            </w:r>
          </w:p>
        </w:tc>
      </w:tr>
      <w:tr>
        <w:trPr>
          <w:trHeight w:val="401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(0.70,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(0.74,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(0.68, 1.14)</w:t>
            </w:r>
          </w:p>
        </w:tc>
      </w:tr>
      <w:tr>
        <w:trPr>
          <w:trHeight w:val="401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(0.83,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(0.92,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1.16)</w:t>
            </w:r>
          </w:p>
        </w:tc>
      </w:tr>
      <w:tr>
        <w:trPr>
          <w:trHeight w:val="401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(0.82,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(0.89,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(0.84, 1.15)</w:t>
            </w:r>
          </w:p>
        </w:tc>
      </w:tr>
      <w:tr>
        <w:trPr>
          <w:trHeight w:val="401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0.79 (0.49,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1.35 (1.03, 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1.70 (1.27, 2.27)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1.73 (1.10, 2.70)</w:t>
            </w:r>
          </w:p>
        </w:tc>
      </w:tr>
      <w:tr>
        <w:trPr>
          <w:trHeight w:val="40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(0.84,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(0.78,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(0.76,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(0.70, 1.27)</w:t>
            </w:r>
          </w:p>
        </w:tc>
      </w:tr>
      <w:tr>
        <w:trPr>
          <w:trHeight w:val="401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(0.76,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0.84 (0.69,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(0.72,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(0.84, 1.27)</w:t>
            </w:r>
          </w:p>
        </w:tc>
      </w:tr>
      <w:tr>
        <w:trPr>
          <w:trHeight w:val="401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(0.72,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(0.71, 1.15)</w:t>
            </w:r>
          </w:p>
        </w:tc>
      </w:tr>
      <w:tr>
        <w:trPr>
          <w:trHeight w:val="401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(0.91,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</w:tr>
      <w:tr>
        <w:trPr>
          <w:trHeight w:val="401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(0.84,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(0.88,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(0.85, 1.14)</w:t>
            </w:r>
          </w:p>
        </w:tc>
      </w:tr>
      <w:tr>
        <w:trPr>
          <w:trHeight w:val="401" w:hRule="auto"/>
        </w:trPr>
        body72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0.78 (0.48, 1.25)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1.28 (0.89, 1.84)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1.82 (1.23, 2.69)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1.64 (1.04, 2.58)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dWAIC is relative to the selected specification within each model; negative is better. Shown on the specification row because it belongs to the fit, not to an individual exposure. A dash marks a lag window outside that specification's range. The same sensitivities for the other panels are in the repository object and agree in direction.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2026-09-15T15:26:48Z</dcterms:modified>
  <cp:category/>
</cp:coreProperties>
</file>