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S1. Cumulative and lag-specific rate ratios, both primary models, by panel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125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Cumulative rate ratio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Lag-specific rate ratio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P(dir), cumulative</w:t>
            </w:r>
          </w:p>
        </w:tc>
      </w:tr>
      <w:tr>
        <w:trPr>
          <w:trHeight w:val="121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0-7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8-14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15-21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22-28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0-7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8-14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15-21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22-28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0-7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8-14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15-21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22-28 d</w:t>
            </w:r>
          </w:p>
        </w:tc>
      </w:tr>
      <w:tr>
        <w:trPr>
          <w:trHeight w:val="12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1.32 (0.88,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(0.86,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 (0.68,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 (0.48,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 (0.88,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</w:t>
            </w:r>
          </w:p>
        </w:tc>
      </w:tr>
      <w:tr>
        <w:trPr>
          <w:trHeight w:val="12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0.94 (0.67,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(0.79,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(0.76,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(0.66,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</w:tr>
      <w:tr>
        <w:trPr>
          <w:trHeight w:val="12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(0.81,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(0.85,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(0.76,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 (0.63,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0.79</w:t>
            </w:r>
          </w:p>
        </w:tc>
      </w:tr>
      <w:tr>
        <w:trPr>
          <w:trHeight w:val="12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0.80 (0.56,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0.85 (0.67,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 (0.69,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 (0.67,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(0.94,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(0.95,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0.74</w:t>
            </w:r>
          </w:p>
        </w:tc>
      </w:tr>
      <w:tr>
        <w:trPr>
          <w:trHeight w:val="12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(0.62,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1.11 (0.85,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1.31 (1.01,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1.55 (1.10, 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1.05 (1.01,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1.08 (1.02,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</w:tr>
      <w:tr>
        <w:trPr>
          <w:trHeight w:val="12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0.81 (0.61,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(0.76,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(0.84,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1.10 (0.87,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0.78</w:t>
            </w:r>
          </w:p>
        </w:tc>
      </w:tr>
      <w:tr>
        <w:trPr>
          <w:trHeight w:val="12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(0.56,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 (0.63,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0.81 (0.59,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0.75 (0.50,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(0.93,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(0.92,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(0.89,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</w:tr>
      <w:tr>
        <w:trPr>
          <w:trHeight w:val="12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1.13 (0.73,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(0.82,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(0.77,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(0.66,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0.50</w:t>
            </w:r>
          </w:p>
        </w:tc>
      </w:tr>
      <w:tr>
        <w:trPr>
          <w:trHeight w:val="12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1.13 (0.79,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0.94 (0.74,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 (0.63,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(0.92,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0.82</w:t>
            </w:r>
          </w:p>
        </w:tc>
      </w:tr>
      <w:tr>
        <w:trPr>
          <w:trHeight w:val="12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(0.81,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(0.86,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1.09 (0.86,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</w:tr>
      <w:tr>
        <w:trPr>
          <w:trHeight w:val="12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1.08 (0.82,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(0.86,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 (0.74,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</w:tr>
      <w:tr>
        <w:trPr>
          <w:trHeight w:val="12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(0.80,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(0.87,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(0.84,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</w:tr>
      <w:tr>
        <w:trPr>
          <w:trHeight w:val="12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(0.69,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(0.83,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1.05 (0.79,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</w:tr>
      <w:tr>
        <w:trPr>
          <w:trHeight w:val="12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0.87 (0.53,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(0.67,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 (0.70,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(0.65,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</w:tr>
      <w:tr>
        <w:trPr>
          <w:trHeight w:val="12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(0.69,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(0.82,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(0.87,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1.11 (0.85,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0.78</w:t>
            </w:r>
          </w:p>
        </w:tc>
      </w:tr>
      <w:tr>
        <w:trPr>
          <w:trHeight w:val="12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 (0.60,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1.23 (1.04,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1.68 (1.31, 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2.29 (1.47, 3.57)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1.05 (1.02,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1.10 (1.05,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1.15 (1.06,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</w:tr>
      <w:tr>
        <w:trPr>
          <w:trHeight w:val="12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(0.76,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(0.91,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1.12 (0.98,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1.19 (0.99,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(1.00,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</w:t>
            </w:r>
          </w:p>
        </w:tc>
      </w:tr>
      <w:tr>
        <w:trPr>
          <w:trHeight w:val="125" w:hRule="auto"/>
        </w:trPr>
        body25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Pooled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(0.85, 1.26)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1.14 (1.03, 1.27)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1.26 (1.12, 1.42)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1.39 (1.15, 1.69)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1.03 (1.01, 1.04)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1.04 (1.02, 1.06)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1.06 (1.02, 1.09)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</w:tr>
      <w:tr>
        <w:trPr>
          <w:trHeight w:val="125" w:hRule="auto"/>
        </w:trPr>
        body26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1.32 (0.88,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1.18 (0.92,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1.09 (0.87,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(0.74,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(0.99,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0.52</w:t>
            </w:r>
          </w:p>
        </w:tc>
      </w:tr>
      <w:tr>
        <w:trPr>
          <w:trHeight w:val="12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(0.63,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(0.81,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1.13 (0.86,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1.21 (0.82, 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(0.97,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0.83</w:t>
            </w:r>
          </w:p>
        </w:tc>
      </w:tr>
      <w:tr>
        <w:trPr>
          <w:trHeight w:val="12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1.26 (0.92,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1.19 (0.99,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1.15 (0.97,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1.12 (0.88,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0.82</w:t>
            </w:r>
          </w:p>
        </w:tc>
      </w:tr>
      <w:tr>
        <w:trPr>
          <w:trHeight w:val="125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 (0.73,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(0.82,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0.94 (0.84,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(0.82,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0.70</w:t>
            </w:r>
          </w:p>
        </w:tc>
      </w:tr>
      <w:tr>
        <w:trPr>
          <w:trHeight w:val="125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(0.78,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1.05 (0.88,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(0.92,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1.09 (0.90,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0.81</w:t>
            </w:r>
          </w:p>
        </w:tc>
      </w:tr>
      <w:tr>
        <w:trPr>
          <w:trHeight w:val="125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0.89 (0.76,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(0.84,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(0.88,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(0.88,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0.58</w:t>
            </w:r>
          </w:p>
        </w:tc>
      </w:tr>
      <w:tr>
        <w:trPr>
          <w:trHeight w:val="12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0.84 (0.68,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 (0.77,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0.91 (0.79,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(0.78,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</w:tr>
      <w:tr>
        <w:trPr>
          <w:trHeight w:val="12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0.74 (0.60,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0.84 (0.74,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 (0.80,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(0.82,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0.97 (0.95,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0.63</w:t>
            </w:r>
          </w:p>
        </w:tc>
      </w:tr>
      <w:tr>
        <w:trPr>
          <w:trHeight w:val="125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0.81 (0.70,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0.88 (0.80,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(0.84,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(0.85,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0.98 (0.96,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0.69</w:t>
            </w:r>
          </w:p>
        </w:tc>
      </w:tr>
      <w:tr>
        <w:trPr>
          <w:trHeight w:val="12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1.05 (0.87,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(0.92,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(0.86,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0.56</w:t>
            </w:r>
          </w:p>
        </w:tc>
      </w:tr>
      <w:tr>
        <w:trPr>
          <w:trHeight w:val="125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1.23 (1.02,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(0.94,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(0.85,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0.87 (0.73,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(0.95,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</w:tr>
      <w:tr>
        <w:trPr>
          <w:trHeight w:val="125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1.18 (1.03,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(0.98,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(0.91,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(0.82,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</w:t>
            </w:r>
          </w:p>
        </w:tc>
      </w:tr>
      <w:tr>
        <w:trPr>
          <w:trHeight w:val="12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(0.82,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(0.84,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(0.77,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</w:tr>
      <w:tr>
        <w:trPr>
          <w:trHeight w:val="125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(0.75,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 (0.83,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(0.85,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(0.82,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0.51</w:t>
            </w:r>
          </w:p>
        </w:tc>
      </w:tr>
      <w:tr>
        <w:trPr>
          <w:trHeight w:val="125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(0.87,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(0.91,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(0.87,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0.57</w:t>
            </w:r>
          </w:p>
        </w:tc>
      </w:tr>
      <w:tr>
        <w:trPr>
          <w:trHeight w:val="12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 (0.57,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1.25 (1.05,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1.74 (1.37,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2.42 (1.54, 3.78)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1.05 (1.03,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1.10 (1.05,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1.16 (1.07,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</w:tr>
      <w:tr>
        <w:trPr>
          <w:trHeight w:val="125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(0.77,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1.08 (0.94,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1.14 (1.01,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1.21 (0.98,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(1.00,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(0.99,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</w:t>
            </w:r>
          </w:p>
        </w:tc>
      </w:tr>
      <w:tr>
        <w:trPr>
          <w:trHeight w:val="125" w:hRule="auto"/>
        </w:trPr>
        body50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(0.86, 1.32)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1.19 (1.07, 1.32)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1.32 (1.17, 1.49)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1.47 (1.20, 1.80)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1.03 (1.02, 1.05)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1.05 (1.03, 1.07)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1.06 (1.03, 1.10)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footer 1
        <w:tc>
          <w:tcPr>
            <w:gridSpan w:val="13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Conditional Poisson case-crossover fitted in INLA with a free per-stratum intercept. Cumulative rate ratios are summed over each lag window; lag-specific rate ratios are read at the last day of the window. Rate ratios are per +0.5 SD of the exposure summed over the lag window. P(dir) is the posterior probability that the effect lies on the side of 1 shown by the point estimate. Bold indicates a 95% credible interval excluding 1.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2026-09-15T13:36:13Z</dcterms:modified>
  <cp:category/>
</cp:coreProperties>
</file>