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z w:val="20"/>
          <w:szCs w:val="20"/>
          <w:color w:val="000000"/>
        </w:rPr>
        <w:t xml:space="preserve">Table S2a. Referent design, with a negative-control exposure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176"/>
        <w:gridCol w:w="1131"/>
        <w:gridCol w:w="1638"/>
        <w:gridCol w:w="1353"/>
        <w:gridCol w:w="1353"/>
        <w:gridCol w:w="1398"/>
        <w:gridCol w:w="1282"/>
        <w:gridCol w:w="1415"/>
      </w:tblGrid>
      <w:tr>
        <w:trPr>
          <w:trHeight w:val="399" w:hRule="auto"/>
          <w:tblHeader/>
        </w:trPr>
        header 1
        <w:tc>
          <w:tcPr>
            <w:tcBorders>
              <w:bottom w:val="single" w:sz="12" w:space="0" w:color="666666"/>
              <w:top w:val="single" w:sz="1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 </w:t>
            </w:r>
          </w:p>
        </w:tc>
        <w:tc>
          <w:tcPr>
            <w:gridSpan w:val="2"/>
            <w:tcBorders>
              <w:bottom w:val="single" w:sz="6" w:space="0" w:color="000000"/>
              <w:top w:val="single" w:sz="1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Design</w:t>
            </w:r>
          </w:p>
        </w:tc>
        <w:tc>
          <w:tcPr>
            <w:gridSpan w:val="5"/>
            <w:tcBorders>
              <w:bottom w:val="single" w:sz="6" w:space="0" w:color="000000"/>
              <w:top w:val="single" w:sz="1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Rate ratio by exposure</w:t>
            </w:r>
          </w:p>
        </w:tc>
      </w:tr>
      <w:tr>
        <w:trPr>
          <w:trHeight w:val="399" w:hRule="auto"/>
          <w:tblHeader/>
        </w:trPr>
        header 2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 </w:t>
            </w:r>
          </w:p>
        </w:tc>
        <w:tc>
          <w:tcPr>
            <w:tcBorders>
              <w:bottom w:val="single" w:sz="12" w:space="0" w:color="666666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Refs/case</w:t>
            </w:r>
          </w:p>
        </w:tc>
        <w:tc>
          <w:tcPr>
            <w:tcBorders>
              <w:bottom w:val="single" w:sz="12" w:space="0" w:color="666666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Negative control</w:t>
            </w:r>
          </w:p>
        </w:tc>
        <w:tc>
          <w:tcPr>
            <w:tcBorders>
              <w:bottom w:val="single" w:sz="12" w:space="0" w:color="666666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Temperature</w:t>
            </w:r>
          </w:p>
        </w:tc>
        <w:tc>
          <w:tcPr>
            <w:tcBorders>
              <w:bottom w:val="single" w:sz="12" w:space="0" w:color="666666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Precipitation</w:t>
            </w:r>
          </w:p>
        </w:tc>
        <w:tc>
          <w:tcPr>
            <w:tcBorders>
              <w:bottom w:val="single" w:sz="12" w:space="0" w:color="666666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Soil moisture</w:t>
            </w:r>
          </w:p>
        </w:tc>
        <w:tc>
          <w:tcPr>
            <w:tcBorders>
              <w:bottom w:val="single" w:sz="12" w:space="0" w:color="666666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Wind speed</w:t>
            </w:r>
          </w:p>
        </w:tc>
        <w:tc>
          <w:tcPr>
            <w:tcBorders>
              <w:bottom w:val="single" w:sz="12" w:space="0" w:color="666666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Anseriformes</w:t>
            </w:r>
          </w:p>
        </w:tc>
      </w:tr>
      <w:tr>
        <w:trPr>
          <w:trHeight w:val="367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Absolute conditions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388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Unidirectional, -7 to -28 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01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Symmetric bidirectional, +/-14 to 28 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39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Time-stratified, two-month strata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01" w:hRule="auto"/>
        </w:trPr>
        body 5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One-month strata, 7-day post exclusion</w:t>
            </w:r>
          </w:p>
        </w:tc>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399" w:hRule="auto"/>
        </w:trPr>
        body 6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90-day anomaly</w:t>
            </w:r>
          </w:p>
        </w:tc>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388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Unidirectional, -7 to -28 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01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Symmetric bidirectional, +/-14 to 28 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39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Time-stratified, two-month strata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01" w:hRule="auto"/>
        </w:trPr>
        body10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One-month strata, 7-day post exclusion</w:t>
            </w:r>
          </w:p>
        </w:tc>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footer 1
        <w:tc>
          <w:tcPr>
            <w:gridSpan w:val="8"/>
            <w:tcBorders>
              <w:bottom w:val="none" w:sz="0" w:space="0" w:color="FFFFFF"/>
              <w:top w:val="single" w:sz="10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The negative control is the 25-year climatological normal temperature for that cell and week. It is pure season by construction and cannot cause a 2022 outbreak, so a design that removes season returns 1.00; any departure from 1.00 is residual seasonal confounding. The unidirectional design has 173 cases and 4.0 referents per case, so it is a different panel and its exposure estimates are not strictly comparable with the others. Exposures are shown at lag 0-7 days, except Anseriformes at lag 22-28 days. Rate ratios are per +0.5 SD of the exposure summed over the lag window.</w:t>
            </w:r>
          </w:p>
        </w:tc>
      </w:tr>
    </w:tbl>
    <w:p>
      <w:pPr>
        <w:sectPr>
          <w:pgMar w:header="708" w:bottom="1417" w:top="1417" w:right="1417" w:left="1417" w:footer="708" w:gutter="0"/>
          <w:pgSz w:h="11906" w:w="16838" w:orient="landscape"/>
          <w:type w:val="oddPage"/>
          <w:cols/>
        </w:sectPr>
      </w:pP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fmooney</cp:lastModifiedBy>
  <cp:revision>9</cp:revision>
  <dcterms:created xsi:type="dcterms:W3CDTF">2017-02-28T11:18:00Z</dcterms:created>
  <dcterms:modified xsi:type="dcterms:W3CDTF">2026-09-11T19:27:16Z</dcterms:modified>
  <cp:category/>
</cp:coreProperties>
</file>