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S2b. Sensitivity to the length of the post-event exclusion window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4"/>
        <w:gridCol w:w="1558"/>
        <w:gridCol w:w="1558"/>
        <w:gridCol w:w="1558"/>
        <w:gridCol w:w="1558"/>
        <w:gridCol w:w="1558"/>
        <w:gridCol w:w="1558"/>
      </w:tblGrid>
      <w:tr>
        <w:trPr>
          <w:trHeight w:val="39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6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Post-event exclusion length</w:t>
            </w:r>
          </w:p>
        </w:tc>
      </w:tr>
      <w:tr>
        <w:trPr>
          <w:trHeight w:val="368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3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5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7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10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14 d</w:t>
            </w:r>
          </w:p>
        </w:tc>
      </w:tr>
      <w:tr>
        <w:trPr>
          <w:trHeight w:val="36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(0.78, 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 (0.80,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(0.81,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1.30 (0.85,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1.33 (0.86, 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1.38 (0.88, 2.18)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(0.67,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(0.67,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(0.67,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(0.68,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(0.72,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(0.78, 1.67)</w:t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(0.79,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(0.80,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(0.81,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(0.83,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(0.87,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1.27 (0.93, 1.72)</w:t>
            </w:r>
          </w:p>
        </w:tc>
      </w:tr>
      <w:tr>
        <w:trPr>
          <w:trHeight w:val="3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(0.58,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(0.58,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(0.58,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(0.54,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(0.61, 1.30)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(0.60,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(0.59,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(0.57,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(0.57,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(0.59,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(0.63, 1.51)</w:t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(0.59,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(0.58,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(0.58,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(0.57,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(0.63, 1.16)</w:t>
            </w:r>
          </w:p>
        </w:tc>
      </w:tr>
      <w:tr>
        <w:trPr>
          <w:trHeight w:val="3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(0.59,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(0.58,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(0.58,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(0.56,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(0.59,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(0.59, 1.59)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(0.71, 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(0.72, 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(0.73,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(0.72,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(0.74,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(0.77, 2.01)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(0.78,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(0.78,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(0.79,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(0.79,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(0.82,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(0.83, 1.81)</w:t>
            </w:r>
          </w:p>
        </w:tc>
      </w:tr>
      <w:tr>
        <w:trPr>
          <w:trHeight w:val="3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(0.67,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(0.66,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(0.67,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(0.67,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(0.69, 1.19)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(0.81,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(0.81,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(0.80,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(0.81,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(0.81,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(0.83, 1.46)</w:t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(0.79,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(0.79,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(0.79,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(0.80,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(0.81, 1.29)</w:t>
            </w:r>
          </w:p>
        </w:tc>
      </w:tr>
      <w:tr>
        <w:trPr>
          <w:trHeight w:val="3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1.48 (1.07, 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1.58 (1.13, 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1.71 (1.22, 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2.33 (1.49, 3.66)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2.58 (1.61, 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2.83 (1.72, 4.67)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1.54 (1.11, 2.13)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1.62 (1.16, 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1.68 (1.20, 2.36)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1.79 (1.25, 2.55)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1.86 (1.30, 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2.05 (1.40, 3.00)</w:t>
            </w:r>
          </w:p>
        </w:tc>
      </w:tr>
      <w:tr>
        <w:trPr>
          <w:trHeight w:val="401" w:hRule="auto"/>
        </w:trPr>
        body21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1.53 (1.22, 1.91)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1.62 (1.29, 2.03)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1.71 (1.35, 2.17)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2.00 (1.51, 2.64)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2.12 (1.59, 2.82)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2.28 (1.68, 3.08)</w:t>
            </w:r>
          </w:p>
        </w:tc>
      </w:tr>
      <w:tr>
        <w:trPr>
          <w:trHeight w:val="399" w:hRule="auto"/>
        </w:trPr>
        body22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(0.77,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(0.77,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(0.79,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(0.82,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(0.81, 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 (0.86, 2.09)</w:t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(0.66,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(0.65,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(0.65,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(0.65,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(0.63,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(0.68, 1.72)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(0.85,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(0.86,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(0.88,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(0.91,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(0.90,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 (0.97, 1.92)</w:t>
            </w:r>
          </w:p>
        </w:tc>
      </w:tr>
      <w:tr>
        <w:trPr>
          <w:trHeight w:val="39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(0.74,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(0.77, 1.15)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(0.72,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(0.73,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(0.72,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(0.74,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(0.76, 1.33)</w:t>
            </w:r>
          </w:p>
        </w:tc>
      </w:tr>
      <w:tr>
        <w:trPr>
          <w:trHeight w:val="40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(0.77, 1.07)</w:t>
            </w:r>
          </w:p>
        </w:tc>
      </w:tr>
      <w:tr>
        <w:trPr>
          <w:trHeight w:val="36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(0.73,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(0.72,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(0.72,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(0.66, 1.01)</w:t>
            </w:r>
          </w:p>
        </w:tc>
      </w:tr>
      <w:tr>
        <w:trPr>
          <w:trHeight w:val="40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(0.66,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(0.65,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0.78 (0.63,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0.76 (0.61,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0.76 (0.61,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0.75 (0.60, 0.95)</w:t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(0.74,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0.85 (0.73,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0.83 (0.72,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0.81 (0.70,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0.81 (0.69,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0.78 (0.67, 0.92)</w:t>
            </w:r>
          </w:p>
        </w:tc>
      </w:tr>
      <w:tr>
        <w:trPr>
          <w:trHeight w:val="3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(0.87,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(0.87,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(0.87,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(0.88,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(0.89,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(0.90, 1.29)</w:t>
            </w:r>
          </w:p>
        </w:tc>
      </w:tr>
      <w:tr>
        <w:trPr>
          <w:trHeight w:val="4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(0.95,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(0.96,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(0.96,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(1.00,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(0.97,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(0.95, 1.44)</w:t>
            </w:r>
          </w:p>
        </w:tc>
      </w:tr>
      <w:tr>
        <w:trPr>
          <w:trHeight w:val="40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(0.98,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(0.99,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(0.99,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1.17 (1.02,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1.17 (1.01,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1.18 (1.02, 1.36)</w:t>
            </w:r>
          </w:p>
        </w:tc>
      </w:tr>
      <w:tr>
        <w:trPr>
          <w:trHeight w:val="369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1.56 (1.10, 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1.68 (1.17, 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1.82 (1.27, 2.62)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2.53 (1.60, 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2.75 (1.70, 4.45)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2.84 (1.72, 4.70)</w:t>
            </w:r>
          </w:p>
        </w:tc>
      </w:tr>
      <w:tr>
        <w:trPr>
          <w:trHeight w:val="40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1.39 (1.01,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1.45 (1.05, 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1.53 (1.10, 2.13)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1.66 (1.17, 2.36)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1.76 (1.22, 2.54)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1.98 (1.33, 2.94)</w:t>
            </w:r>
          </w:p>
        </w:tc>
      </w:tr>
      <w:tr>
        <w:trPr>
          <w:trHeight w:val="401" w:hRule="auto"/>
        </w:trPr>
        body42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1.55 (1.23, 1.95)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1.65 (1.31, 2.09)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1.76 (1.38, 2.24)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2.10 (1.59, 2.77)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2.24 (1.68, 2.99)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2.42 (1.77, 3.30)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Days following an outbreak are excluded from the referent pool to avoid conditioning on post-event surveillance and control activity. No WAIC column: each exclusion length defines a different set of observations, so WAIC falls simply because rows are deleted and cannot be compared down the column. Rate ratios are per +0.5 SD of the exposure summed over the lag window.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2026-09-11T19:27:17Z</dcterms:modified>
  <cp:category/>
</cp:coreProperties>
</file>