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Table S6. Exposure effects in spring versus outside spring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76"/>
        <w:gridCol w:w="1558"/>
        <w:gridCol w:w="1558"/>
        <w:gridCol w:w="1558"/>
        <w:gridCol w:w="1558"/>
      </w:tblGrid>
      <w:tr>
        <w:trPr>
          <w:trHeight w:val="369" w:hRule="auto"/>
          <w:tblHeader/>
        </w:trPr>
        header 1
        <w:tc>
          <w:tcPr>
            <w:tcBorders>
              <w:bottom w:val="single" w:sz="12" w:space="0" w:color="666666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4"/>
            <w:tcBorders>
              <w:bottom w:val="single" w:sz="6" w:space="0" w:color="000000"/>
              <w:top w:val="single" w:sz="1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Cumulative rate ratio</w:t>
            </w:r>
          </w:p>
        </w:tc>
      </w:tr>
      <w:tr>
        <w:trPr>
          <w:trHeight w:val="399" w:hRule="auto"/>
          <w:tblHeader/>
        </w:trPr>
        header 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0-7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8-14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15-21 days</w:t>
            </w:r>
          </w:p>
        </w:tc>
        <w:tc>
          <w:tcPr>
            <w:tcBorders>
              <w:bottom w:val="single" w:sz="12" w:space="0" w:color="666666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Lag 22-28 days</w:t>
            </w:r>
          </w:p>
        </w:tc>
      </w:tr>
      <w:tr>
        <w:trPr>
          <w:trHeight w:val="36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Absolute conditions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(0.54, 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(0.70, 1.35)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 (0.64, 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(0.52, 2.00)</w:t>
            </w:r>
          </w:p>
        </w:tc>
      </w:tr>
      <w:tr>
        <w:trPr>
          <w:trHeight w:val="401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(0.74, 1.25)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(0.82,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(0.79,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(0.71, 1.21)</w:t>
            </w:r>
          </w:p>
        </w:tc>
      </w:tr>
      <w:tr>
        <w:trPr>
          <w:trHeight w:val="39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(0.52,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(0.63,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(0.66, 1.07)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(0.64, 1.19)</w:t>
            </w:r>
          </w:p>
        </w:tc>
      </w:tr>
      <w:tr>
        <w:trPr>
          <w:trHeight w:val="40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0.75 (0.48,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(0.69, 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1.14 (0.82,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1.36 (0.91, 2.05)</w:t>
            </w:r>
          </w:p>
        </w:tc>
      </w:tr>
      <w:tr>
        <w:trPr>
          <w:trHeight w:val="369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(0.68, 1.52)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(0.73, 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0.87 (0.68, 1.11)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0.81 (0.58, 1.12)</w:t>
            </w:r>
          </w:p>
        </w:tc>
      </w:tr>
      <w:tr>
        <w:trPr>
          <w:trHeight w:val="401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1.06 (0.64, 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(0.71, 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(0.64, 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0.84 (0.52, 1.35)</w:t>
            </w:r>
          </w:p>
        </w:tc>
      </w:tr>
      <w:tr>
        <w:trPr>
          <w:trHeight w:val="39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(0.93, 1.57)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1.18 (0.98,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(0.97, 1.41)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(0.92, 1.47)</w:t>
            </w:r>
          </w:p>
        </w:tc>
      </w:tr>
      <w:tr>
        <w:trPr>
          <w:trHeight w:val="401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0.80 (0.60,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(0.74, 1.06)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0.95 (0.79, 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(0.79, 1.31)</w:t>
            </w:r>
          </w:p>
        </w:tc>
      </w:tr>
      <w:tr>
        <w:trPr>
          <w:trHeight w:val="369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0.68 (0.46,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1.12 (0.93, 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1.69 (1.37, 2.10)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2.57 (1.74, 3.80)</w:t>
            </w:r>
          </w:p>
        </w:tc>
      </w:tr>
      <w:tr>
        <w:trPr>
          <w:trHeight w:val="401" w:hRule="auto"/>
        </w:trPr>
        body16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(0.74, 1.55)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1.03 (0.84, 1.26)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(0.77, 1.30)</w:t>
            </w:r>
          </w:p>
        </w:tc>
        <w:tc>
          <w:tcPr>
            <w:tcBorders>
              <w:bottom w:val="single" w:sz="4" w:space="0" w:color="B3B3B3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(0.64, 1.50)</w:t>
            </w:r>
          </w:p>
        </w:tc>
      </w:tr>
      <w:tr>
        <w:trPr>
          <w:trHeight w:val="399" w:hRule="auto"/>
        </w:trPr>
        body17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90-day anomaly</w:t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B3B3B3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9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Temperature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1.21 (0.78, 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1.22 (0.95, 1.58)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 (0.98, 1.63)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1.31 (0.92, 1.86)</w:t>
            </w:r>
          </w:p>
        </w:tc>
      </w:tr>
      <w:tr>
        <w:trPr>
          <w:trHeight w:val="401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(0.37, 2.67)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1.09 (0.62, 1.91)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1.17 (0.69, 1.99)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1.27 (0.59, 2.72)</w:t>
            </w:r>
          </w:p>
        </w:tc>
      </w:tr>
      <w:tr>
        <w:trPr>
          <w:trHeight w:val="39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Precipitation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0.85 (0.69,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0.89 (0.78, 1.01)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0.91 (0.81, 1.03)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(0.80, 1.10)</w:t>
            </w:r>
          </w:p>
        </w:tc>
      </w:tr>
      <w:tr>
        <w:trPr>
          <w:trHeight w:val="401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(0.71, 1.44)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(0.78, 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(0.78, 1.32)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(0.73, 1.40)</w:t>
            </w:r>
          </w:p>
        </w:tc>
      </w:tr>
      <w:tr>
        <w:trPr>
          <w:trHeight w:val="36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Soil moisture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0.94 (0.72, 1.23)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0.96 (0.82,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0.97 (0.84,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(0.80, 1.20)</w:t>
            </w:r>
          </w:p>
        </w:tc>
      </w:tr>
      <w:tr>
        <w:trPr>
          <w:trHeight w:val="401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0.77 (0.62,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0.83 (0.72, 0.95)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0.86 (0.75, 0.99)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0.90 (0.74, 1.08)</w:t>
            </w:r>
          </w:p>
        </w:tc>
      </w:tr>
      <w:tr>
        <w:trPr>
          <w:trHeight w:val="397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Wind speed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1.23 (1.01, 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(0.96, 1.26)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1.01 (0.88, 1.16)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(0.78, 1.11)</w:t>
            </w:r>
          </w:p>
        </w:tc>
      </w:tr>
      <w:tr>
        <w:trPr>
          <w:trHeight w:val="401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0.88 (0.68, 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 (0.81, 1.08)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0.98 (0.84, 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 (0.83, 1.25)</w:t>
            </w:r>
          </w:p>
        </w:tc>
      </w:tr>
      <w:tr>
        <w:trPr>
          <w:trHeight w:val="3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24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Anseriformes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401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Spring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0.65 (0.42,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1.07 (0.89, 1.28)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1.62 (1.32, 2.00)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6"/>
                <w:szCs w:val="16"/>
                <w:color w:val="000000"/>
              </w:rPr>
              <w:t xml:space="preserve">2.46 (1.64, 3.69)</w:t>
            </w:r>
          </w:p>
        </w:tc>
      </w:tr>
      <w:tr>
        <w:trPr>
          <w:trHeight w:val="401" w:hRule="auto"/>
        </w:trPr>
        body32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52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Outside spring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 (0.67, 1.50)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1.10 (0.88, 1.37)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 (0.89, 1.59)</w:t>
            </w:r>
          </w:p>
        </w:tc>
        <w:tc>
          <w:tcPr>
            <w:tcBorders>
              <w:bottom w:val="single" w:sz="1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8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1.29 (0.80, 2.06)</w:t>
            </w:r>
          </w:p>
        </w:tc>
      </w:tr>
      <w:tr>
        <w:trPr>
          <w:trHeight w:val="360" w:hRule="auto"/>
        </w:trPr>
        footer 1
        <w:tc>
          <w:tcPr>
            <w:gridSpan w:val="5"/>
            <w:tcBorders>
              <w:bottom w:val="none" w:sz="0" w:space="0" w:color="FFFFFF"/>
              <w:top w:val="single" w:sz="10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4"/>
                <w:szCs w:val="14"/>
                <w:color w:val="000000"/>
              </w:rPr>
              <w:t xml:space="preserve">Spring versus outside spring rather than four seasons: case counts are Spring 112, Fall 44, Winter 8 and Summer 3, and a crossbasis cannot be fitted on 3 cases. The crossbasis is masked to a season rather than the raw exposure multiplied by a season flag, since zeroing the input does not zero a spline basis. Rate ratios are per +0.5 SD of the exposure summed over the lag window.</w:t>
            </w:r>
          </w:p>
        </w:tc>
      </w:tr>
    </w:tbl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2026-09-11T19:27:19Z</dcterms:modified>
  <cp:category/>
</cp:coreProperties>
</file>