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2b. Outbreak Cells: Current vs 25-yr Means by Season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44"/>
        <w:gridCol w:w="2795"/>
        <w:gridCol w:w="2489"/>
        <w:gridCol w:w="1902"/>
        <w:gridCol w:w="2795"/>
        <w:gridCol w:w="2489"/>
        <w:gridCol w:w="1902"/>
        <w:gridCol w:w="2990"/>
        <w:gridCol w:w="2685"/>
        <w:gridCol w:w="2098"/>
        <w:gridCol w:w="2514"/>
        <w:gridCol w:w="2208"/>
        <w:gridCol w:w="1621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 — Current_Mean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 — Mean_25yr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 — 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— Current_Mean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— Mean_25yr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— 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 — Current_Mean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 — Mean_25yr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 — 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 — Current_Mean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 — Mean_25yr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 — Delta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Shortwave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Longwave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 (m/s)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&amp; Sub-Surface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 (kg/m³)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</w:tr>
      <w:tr>
        <w:trPr>
          <w:trHeight w:val="573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Area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2026-01-14T14:30:29Z</dcterms:modified>
  <cp:category/>
</cp:coreProperties>
</file>