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147"/>
        <w:gridCol w:w="2147"/>
        <w:gridCol w:w="2147"/>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1.96 (1.34, 2.86)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3.19 (1.63, 6.25)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4.34 (1.80, 10.49)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4.93 (1.77, 13.76)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4.66 (1.51, 14.45)</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0.60 (0.40,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0.41 (0.21,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0.32 (0.14,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0.29 (0.11,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0.29 (0.09, 0.94)</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1.33 (0.84,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1.85 (0.80, 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2.68 (0.85, 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4.03 (0.95, 17.01)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6.31 (1.09, 36.59)</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0.75 (0.48,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0.68 (0.34,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0.75 (0.34,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 (0.43, 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1.64 (0.51, 5.35)</w:t>
            </w:r>
          </w:p>
        </w:tc>
      </w:tr>
      <w:tr>
        <w:trPr>
          <w:trHeight w:val="61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0.57 (0.39, 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0.37 (0.19,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0.26 (0.11, 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0.21 (0.07, 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0.19 (0.06, 0.62)</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(0.85,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1.14 (0.76,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1.25 (0.70,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1.40 (0.65, 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1.59 (0.60, 4.19)</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0.54 (0.36, 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0.48 (0.26, 0.90)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0.70 (0.35, 1.39)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1.66 (0.80, 3.42)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6.39 (2.47, 16.52)</w:t>
            </w:r>
          </w:p>
        </w:tc>
      </w:tr>
    </w:tbl>
    <w:p>
      <w:pPr>
        <w:pStyle w:val="Normal"/>
      </w:pPr>
      <w:r>
        <w:t xml:space="preserve">Table: Cumulative Odds Ratios for Case-Crossover Study on the Association between Environmental Conditions and Highly Pathogenic Avian Influenza Outbreaks in Minnesota, 2022. Estimates are per 0.5 standard deviation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2026-01-14T21:03:53Z</dcterms:modified>
  <cp:category/>
</cp:coreProperties>
</file>