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1.71 (1.24, 2.35)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1.49 (1.16, 1.91)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1.30 (1.07, 1.58)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1.13 (0.95, 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 (0.81, 1.20)</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0.67 (0.47,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0.74 (0.59,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0.82 (0.66,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0.91 (0.67,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 (0.65, 1.58)</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1.21 (0.79,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1.27 (0.91,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 (1.00,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1.40 (1.03,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1.48 (1.00, 2.18)</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0.64 (0.45,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0.70 (0.53,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0.77 (0.62,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0.84 (0.69,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(0.75, 1.13)</w:t>
            </w:r>
          </w:p>
        </w:tc>
      </w:tr>
      <w:tr>
        <w:trPr>
          <w:trHeight w:val="616"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0.50 (0.34, 0.73)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0.85 (0.69, 1.04)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1.45 (1.23, 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2.47 (1.82, 3.37)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4.22 (2.57, 6.95)</w:t>
            </w:r>
          </w:p>
        </w:tc>
      </w:tr>
    </w:tbl>
    <w:p>
      <w:pPr>
        <w:pStyle w:val="Normal"/>
      </w:pPr>
      <w:r>
        <w:t xml:space="preserve">Table: Lag-specific odds ratios for the reduced case-crossover model assessing the association between environmental conditions and Highly Pathogenic Avian Influenza outbreaks in Minnesota, 2022. Estimates are per 0.5 SD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2026-01-14T21:01:46Z</dcterms:modified>
  <cp:category/>
</cp:coreProperties>
</file>