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270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2.31 (1.38, 3.87)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1.79 (1.20, 2.66)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1.38 (1.03, 1.86)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(0.83, 1.37)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(0.62, 1.09)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 (0.79, 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(0.71,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(0.59,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(0.43,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(0.29, 1.38)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 (0.21,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(0.52,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(0.98,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2.44 (1.32, 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4.37 (1.64, 11.63)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 (0.28,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0.58 (0.38,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0.71 (0.52,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(0.65,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(0.75, 1.45)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0.46 (0.26,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0.59 (0.39,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(0.55,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(0.65,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(0.70, 2.15)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(1.00,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1.43 (1.07,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1.49 (1.11,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1.55 (1.14,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1.61 (1.14, 2.28)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0.12 (0.03, 0.45)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0.38 (0.19, 0.78)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(0.90, 1.71)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4.00 (1.90, 8.43)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12.92 (3.30, 50.51)</w:t>
            </w:r>
          </w:p>
        </w:tc>
      </w:tr>
    </w:tbl>
    <w:p>
      <w:pPr>
        <w:pStyle w:val="Normal"/>
      </w:pPr>
      <w:r>
        <w:t xml:space="preserve">Table: Lag-specific odds ratios from the case-crossover stratified to Fall and Spring with DLNM crossbasis functions.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2026-01-14T21:15:23Z</dcterms:modified>
  <cp:category/>
</cp:coreProperties>
</file>