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26"/>
        <w:gridCol w:w="2025"/>
        <w:gridCol w:w="2025"/>
        <w:gridCol w:w="2025"/>
        <w:gridCol w:w="2025"/>
        <w:gridCol w:w="2025"/>
      </w:tblGrid>
      <w:tr>
        <w:trPr>
          <w:trHeight w:val="618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gridSpan w:val="5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Odds Ratio (95% CI)</w:t>
            </w:r>
          </w:p>
        </w:tc>
      </w:tr>
      <w:tr>
        <w:trPr>
          <w:trHeight w:val="617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0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1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2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3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4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 (0.84, 1.31)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 (0.91, 1.17)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(0.92, 1.11)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 (0.85, 1.16)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 (0.76, 1.26)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 (0.68, 1.46)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 (0.81,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 (0.92,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 (0.80,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 (0.66, 1.41)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 (0.74, 2.07)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1.43 (1.05, 1.96)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1.66 (1.30, 2.12)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1.92 (1.31, 2.83)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2.23 (1.21, 4.10)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 (0.82,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 (0.83,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 (0.83,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 (0.80,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 (0.75, 1.04)</w:t>
            </w:r>
          </w:p>
        </w:tc>
      </w:tr>
      <w:tr>
        <w:trPr>
          <w:trHeight w:val="62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Snow Density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1.30 (1.05, 1.62)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1.29 (1.12, 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1.28 (1.12, 1.47)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1.27 (1.05, 1.54)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 (0.95, 1.67)</w:t>
            </w:r>
          </w:p>
        </w:tc>
      </w:tr>
      <w:tr>
        <w:trPr>
          <w:trHeight w:val="619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 (0.89,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 (0.91,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(0.92,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 (0.90,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 (0.87, 1.13)</w:t>
            </w:r>
          </w:p>
        </w:tc>
      </w:tr>
      <w:tr>
        <w:trPr>
          <w:trHeight w:val="616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 Bird Abundance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 (0.86, 1.48)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 (0.96, 1.29)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1.10 (1.04, 1.17)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 (0.95, 1.26)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 (0.83, 1.42)</w:t>
            </w:r>
          </w:p>
        </w:tc>
      </w:tr>
    </w:tbl>
    <w:p>
      <w:pPr>
        <w:pStyle w:val="Normal"/>
      </w:pPr>
      <w:r>
        <w:t xml:space="preserve">Table: Lag-specific odds ratios from the adjusted time series model with DLNM crossbasis functions and season fixed effects. Estimates represent odds ratios (95% CI) per 0.5 standard deviation increase in each environmental predictor. Statistically significant lags are shown in bold.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2026-01-14T21:11:26Z</dcterms:modified>
  <cp:category/>
</cp:coreProperties>
</file>