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(0.93,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(0.84,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(0.73, 1.21)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(0.66,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(0.69, 1.44)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0.43 (0.25,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0.60 (0.42,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(0.64,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(0.82,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(0.94, 2.78)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(0.79,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(0.81, 1.12)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(0.68,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(0.91,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(0.97,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(1.00, 1.71)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(0.91,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(0.79, 1.03)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(0.79,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(0.93, 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1.11 (1.05,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1.15 (1.01,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(0.93, 1.55)</w:t>
            </w:r>
          </w:p>
        </w:tc>
      </w:tr>
    </w:tbl>
    <w:p>
      <w:pPr>
        <w:pStyle w:val="Normal"/>
      </w:pPr>
      <w:r>
        <w:t xml:space="preserve">Table: Lag-specific odds ratios from the adjusted time series model with DLNM crossbasis functions and astronomical season fixed effects.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2026-01-14T21:11:51Z</dcterms:modified>
  <cp:category/>
</cp:coreProperties>
</file>