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392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0–1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2–4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(0.82, 2.00)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 (0.90, 10.47)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0.14 (0.05,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0.05 (0.01, 0.22)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(0.98, 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19.15 (2.29, 160.08)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(0.48,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(0.16, 1.53)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(0.52,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(0.09, 1.47)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(0.75,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 (0.75, 4.80)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0.41 (0.26, 0.63)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(0.85, 3.01)</w:t>
            </w:r>
          </w:p>
        </w:tc>
      </w:tr>
    </w:tbl>
    <w:p>
      <w:pPr>
        <w:pStyle w:val="Normal"/>
      </w:pPr>
      <w:r>
        <w:t xml:space="preserve">Table: Cumulative Odds Ratios for Case-Crossover Study on the Association between Environmental Conditions and Highly Pathogenic Avian Influenza Outbreaks in Minnesota (Fall + Spring 2022). Odds ratios represent cumulative effects over lag windows (0–1 weeks, 2–4 weeks) per 0.5 SD increase in each predictor. Statistically significant associations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2026-02-24T16:34:42Z</dcterms:modified>
  <cp:category/>
</cp:coreProperties>
</file>