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6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(0.91, 2.07)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(0.91, 1.87)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(0.91, 1.69)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(0.89, 1.55)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(0.87, 1.45)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(0.82, 1.39)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(0.76, 1.35)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(0.70, 1.33)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(0.63, 1.33)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0.34 (0.17,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0.42 (0.23,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0.51 (0.31,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0.62 (0.40,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(0.49,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(0.56,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(0.61,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(0.66, 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 (0.69, 3.91)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 (0.95, 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(0.92, 3.93)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(0.89, 3.30)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 (0.84, 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(0.78, 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(0.71, 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(0.64,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(0.56,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(0.47, 1.71)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(0.21,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0.50 (0.26,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0.51 (0.31,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0.52 (0.33,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0.54 (0.30,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(0.25,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 (0.21,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(0.17, 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(0.13, 2.70)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(0.61,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(0.68,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(0.76,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(0.84,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(0.91,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(0.98,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1.43 (1.04,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1.52 (1.08,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1.62 (1.10, 2.38)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1.58 (1.11,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1.57 (1.12,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1.56 (1.12,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1.55 (1.12,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1.55 (1.11,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1.54 (1.10, 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1.53 (1.08,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1.52 (1.05,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1.52 (1.02, 2.25)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2.34 (1.26, 4.35)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2.45 (1.41, 4.26)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2.57 (1.56, 4.24)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2.69 (1.69, 4.29)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2.82 (1.79, 4.43)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2.95 (1.86, 4.69)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3.09 (1.89, 5.08)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3.24 (1.88, 5.59)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3.40 (1.85, 6.25)</w:t>
            </w:r>
          </w:p>
        </w:tc>
      </w:tr>
    </w:tbl>
    <w:p>
      <w:pPr>
        <w:pStyle w:val="Normal"/>
      </w:pPr>
      <w:r>
        <w:t xml:space="preserve">Table: Lag-Specific Odds Ratios for the 8-week Case-Crossover Model of Environmental and Bird Predictors of HPAI Outbreaks in Minnesota (2022). Odds ratios are per 0.5 SD increase; statistically significant values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2026-02-24T17:17:34Z</dcterms:modified>
  <cp:category/>
</cp:coreProperties>
</file>