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961"/>
        <w:gridCol w:w="39710"/>
        <w:gridCol w:w="17319"/>
      </w:tblGrid>
      <w:tr>
        <w:trPr>
          <w:trHeight w:val="618" w:hRule="auto"/>
          <w:tblHeader/>
        </w:trPr>
        header 1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Seasonal Odds Ratios (95% CI)</w:t>
            </w:r>
          </w:p>
        </w:tc>
      </w:tr>
      <w:tr>
        <w:trPr>
          <w:trHeight w:val="621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29692628495437899956904990918790155643912192.00)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13.81 (0.00, 46703324187869518495744.00)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8075741961592257536.00)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65175.69 (0.00, 595184749200809525248.00)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317400.70 (0.00, 205674062630245033137776711696384.00)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576165.16 (0.00, 215879572582359891464683520.00)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732364.64 (0.00, 1444056627621732405632565248.00)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145.05 (0.00, 1820917249062926548992.00)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296883929183836029574233194496.00)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453966986725659374464608531120128.00)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104.98)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 (0.00, 33503.12)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(0.00, 73073.33)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(0.00, 540.76)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3512.33 (0.00, 33940571868763.35)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 (0.00, 342.65)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4283.04 (0.00, 5840048036.71)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(0.00, 33.55)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4.75 (0.00, 15013072369296.91)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(0.00, 95.64)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45.11 (0.02, 119551.17)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(0.04, 16.74)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(0.00, 13.68)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(0.30, 2.09)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4.22)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(0.10, 5.53)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(0.00, 6.77)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(0.16, 3.17)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29.01 (0.03, 27728.61)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(0.21, 2.25)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38613468419033075498307701720472541224470340299100830461515927094571988225163675262543254049315619736937999658999611109375585799443807449260719996875929462980926900413780516612574956041418702662603364195255460495162382319321378424296698145516090345011148054593536.00 (0.00, 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57343054736579989442051881070505396717695550309745573949120607458164736.00)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3093416989405320387064575819776.00 (0.00, 74003083310911056648496134601082928692447895688410684997050220216237342791844957157297277213104996017911733959503787184236992077003791167070478560785204303635556939066521547347511893114096301113493592302193208614162641509679260447715715272693838766782622916372513981617433214976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60044033598367772350003164479488.00)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18747699730117739060517123060554724341853508609022665935930341910363319495737971946389833252864.00)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1210348055291422194541974559468464689895765442560.00)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3420612669511430771454714529505284918971715813342445568.00)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8016849456031831908324029275940148646848233472.00)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6482110912122140347423469723016891093688192189319824820075177890077293081411185830304349536311647274008576.00)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192802569984102893806091193084018150166596780739169884632148828453483789878601704998339891392376021227981007875112941863829504.00)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132609005209439143198720.00 (0.00, 648427416785910755476553203175579119344092237827033287144567648946217404501471281651985809239355424768.00)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114167858173.11)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2824072626170966727011098407064008908603392.00)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2.62)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12450169978408788625909876944893244744790966272.00)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281485098820483136.00)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34581851957003358781037044883928804656889889154694561923072.00)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(0.00, 110269843814081955465527296.00)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3547653783991887360.00 (0.00, 39104855370415438961051972556550074120593898490429962623669338582203377940668170778852897585628266779063288095605797461444439119764361242849837056.00)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25638142783161.72 (0.00, 7371524241648738040474814922842683403299731800064.00)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0.31 (0.12,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(0.62, 2.00)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(0.56,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0.75 (0.62, 0.89)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 (0.73, 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0.65 (0.45, 0.93)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(0.83,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(0.68, 1.09)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(0.27,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1.48 (1.07, 2.05)</w:t>
            </w:r>
          </w:p>
        </w:tc>
      </w:tr>
      <w:tr>
        <w:trPr>
          <w:trHeight w:val="61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(0.02,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 (0.48, 4.13)</w:t>
            </w:r>
          </w:p>
        </w:tc>
      </w:tr>
      <w:tr>
        <w:trPr>
          <w:trHeight w:val="61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(0.11, 2.84)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(0.23, 1.29)</w:t>
            </w:r>
          </w:p>
        </w:tc>
      </w:tr>
      <w:tr>
        <w:trPr>
          <w:trHeight w:val="61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(0.19, 5.25)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(0.12, 1.13)</w:t>
            </w:r>
          </w:p>
        </w:tc>
      </w:tr>
      <w:tr>
        <w:trPr>
          <w:trHeight w:val="61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(0.28, 3.84)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(0.23, 1.49)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(0.13, 4.88)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 (0.43, 6.03)</w:t>
            </w:r>
          </w:p>
        </w:tc>
      </w:tr>
    </w:tbl>
    <w:p>
      <w:pPr>
        <w:pStyle w:val="Normal"/>
      </w:pPr>
      <w:r>
        <w:t xml:space="preserve">Table 1. Lag-specific odds ratios (per 0.5 SD increase) comparing Fall vs Spring for key environmental predictors. Bolded values indicate statistically significant associations (95% CI excluding 1).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2025-10-24T16:51:09Z</dcterms:modified>
  <cp:category/>
</cp:coreProperties>
</file>