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S2. Cumulative odds ratios by referent design, Minnesota.</w:t>
      </w:r>
    </w:p>
    <w:p>
      <w:pPr>
        <w:pStyle w:val="Normal"/>
      </w:pPr>
      <w:r>
        <w:t xml:space="preserve">Unidirectional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573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Unidirectional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2.53 (1.43, 4.50)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1.95 (1.34, 2.85)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1.71 (1.22, 2.39)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 (1.01, 2.21)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(0.69,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 (0.91,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(1.01,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1.58 (1.01, 2.48)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 (0.21,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 (0.26,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 (0.18,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 (0.10, 0.79)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(0.55, 1.53)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(0.53,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(0.77,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(0.94,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(1.05, 2.76)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(0.53,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 (0.37,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 (0.23, 0.62)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(0.58, 1.28)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(0.69, 1.68)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(0.82, 1.95)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 (0.94, 2.29)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Time-stratified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575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(0.74, 1.85)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(0.85, 1.49)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(0.88, 1.40)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(0.82, 1.45)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(0.78,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(0.59, 1.29)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(0.74, 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(0.65,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 (0.20, 1.27)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(0.61, 1.32)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(0.52,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(0.77,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(0.77, 1.64)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(0.76,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(0.67, 1.04)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(1.09, 1.51)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(1.09, 1.51)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(1.09, 1.52)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(1.09, 1.51)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Symmetric ±14–28 (primary)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Symmetric ±14–28 (primary)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(1.26, 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(1.14, 1.74)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(0.99, 1.69)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(1.12, 2.08)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 (1.17,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(0.33, 1.29)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(0.37, 0.76)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(0.83, 1.61)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(0.76, 1.13)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(1.13, 1.89)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(1.19, 2.27)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Each block is the same model under a different referent design. The symmetric design is the primary. Odds ratios are per +0.5 SD, except temperature (per +5 °C above 10 °C). Estimates accumulate within each weekly window; the full 0-28 d cumulative is not reported because it sums a sign-changing lag curve.</w:t>
      </w:r>
    </w:p>
    <w:p>
      <w:pPr/>
      <w:r>
        <w:br w:type="page"/>
      </w:r>
    </w:p>
    <w:p>
      <w:pPr>
        <w:pStyle w:val="Normal"/>
      </w:pPr>
      <w:r>
        <w:t xml:space="preserve">Table S3. Cumulative odds ratios by case definition and spatial restriction, Minnesota.</w:t>
      </w:r>
    </w:p>
    <w:p>
      <w:pPr>
        <w:pStyle w:val="Normal"/>
      </w:pPr>
      <w:r>
        <w:t xml:space="preserve">Primary (CSLT-excluded)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Primary (CSLT-excluded)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(1.26, 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(1.14, 1.74)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(0.99, 1.69)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(1.12, 2.08)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 (1.17,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(0.33, 1.29)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(0.37, 0.76)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(0.83, 1.61)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(0.76, 1.13)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(1.12, 1.93)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(1.23, 2.28)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CSLT-inclusive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577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CSLT-inclusive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 (1.02, 2.05)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(1.06, 1.63)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(1.03, 1.52)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(0.93, 1.53)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(1.12,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(1.26, 2.30)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1.97 (1.06,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(1.08,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(0.78,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(0.45, 1.68)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(0.43,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(0.49,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 (0.47, 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 (0.42, 0.82)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(0.85,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(0.90, 1.66)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(0.97,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(0.76, 1.10)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(0.77, 1.39)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(0.86, 1.56)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(1.20, 2.11)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1.88 (1.39, 2.60)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Spatial 200 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Spatial 200 m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1.79 (1.25, 2.57)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 (1.22, 1.93)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(1.15, 1.76)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(1.01, 1.73)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(1.13, 2.09)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2.30 (1.20, 4.42)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(1.04,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(0.32, 1.28)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(0.40,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(0.37, 0.78)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(0.86, 1.66)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(0.86,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(0.77, 1.15)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(0.80, 1.40)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(0.90, 1.55)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 (1.11, 1.88)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(1.20, 2.18)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Spatial 1 km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Spatial 1 km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1.86 (1.28, 2.68)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 (1.20, 1.93)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(1.09, 1.70)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(0.92, 1.62)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 (1.07,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 (1.14, 2.11)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2.27 (1.19, 4.36)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(0.65,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(0.32, 1.27)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 (0.31,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(0.37, 0.78)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(0.85,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(0.85, 1.65)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(0.77, 1.15)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(0.83, 1.39)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(0.93, 1.57)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(1.09, 1.80)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 (1.15, 2.04)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Spillover events per definition: Primary (CSLT-excluded), n = 85; CSLT-inclusive, n = 103; Spatial 200 m, n = 84; Spatial 1 km, n = 80.</w:t>
      </w:r>
    </w:p>
    <w:p>
      <w:pPr>
        <w:pStyle w:val="Normal"/>
      </w:pPr>
      <w:r>
        <w:t xml:space="preserve">Note. The primary excludes cross-farm CSLT/NOSEQ events and applies no spatial restriction. Spatial rows restrict referent cells by distance from the case premises.</w:t>
      </w:r>
    </w:p>
    <w:p>
      <w:pPr/>
      <w:r>
        <w:br w:type="page"/>
      </w:r>
    </w:p>
    <w:p>
      <w:pPr>
        <w:pStyle w:val="Normal"/>
      </w:pPr>
      <w:r>
        <w:t xml:space="preserve">Table S5. Model specification selection.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985"/>
        <w:gridCol w:w="2025"/>
        <w:gridCol w:w="2025"/>
        <w:gridCol w:w="202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Waterfowl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905.2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(1.23, 2.23)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prec =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(1.25, 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 (1.26, 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 (0.34, 0.66)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prec =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 (1.22,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1.58 (1.25,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 (0.35, 0.67)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prec = 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 (1.18,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(1.13,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(0.50, 0.82)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basis ns df =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(1.12,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1.73 (1.30, 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 (0.27, 0.56)</w:t>
            </w:r>
          </w:p>
        </w:tc>
      </w:tr>
      <w:tr>
        <w:trPr>
          <w:trHeight w:val="6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basis ns df =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(1.09,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1.89 (1.37, 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 (0.26, 0.59)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 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 (1.25,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(1.16,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 (0.41, 0.75)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 bs(3)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(1.21,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 (1.21,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(0.40, 0.73)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bird smooth RW2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1.72 (1.27, 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 (0.39, 0.71)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 predators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(1.21, 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(1.21,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0.72)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bird term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 (1.10, 1.65)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 (0.36, 0.67)</w:t>
            </w:r>
          </w:p>
        </w:tc>
      </w:tr>
    </w:tbl>
    <w:p>
      <w:pPr>
        <w:pStyle w:val="Normal"/>
      </w:pPr>
      <w:r>
        <w:t xml:space="preserve">Note. WAIC and three representative estimates under each modelling choice; all other settings held at the primary. Waterfowl is the 22-28 d window, runoff and precipitation the 8-14 d window. The no-bird-term row has no waterfowl estimate by construction.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2026-08-26T18:31:20Z</dcterms:modified>
  <cp:category/>
</cp:coreProperties>
</file>