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2. Lag-specific and cumulative odds ratios for meteorological conditions and wild bird abundance on HPAI spillover, Minnesota 2022.</w:t>
      </w:r>
    </w:p>
    <w:p>
      <w:pPr>
        <w:pStyle w:val="Normal"/>
      </w:pPr>
      <w:r>
        <w:t xml:space="preserve">A. Lag-specific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  <w:gridCol w:w="2025"/>
      </w:tblGrid>
      <w:tr>
        <w:trPr>
          <w:trHeight w:val="621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Odds ratio (95% CrI) at each lag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(1.03,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(1.03,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(1.03, 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 (1.01, 1.08)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(0.99, 1.08)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 (1.01,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(1.02, 1.13)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(1.02,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(0.90,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(0.81, 1.04)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(0.87,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(0.88,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(0.87,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(0.86, 0.97)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(0.97, 1.08)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(0.99,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(0.95, 1.02)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(0.70, 1.37)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(0.80, 1.43)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(0.88, 1.58)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1.46 (1.11, 1.92)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1.66 (1.22, 2.25)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B. Cumulative within weekly window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Odds ratio (95% CrI) accumulated within window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1.80 (1.26, 2.58)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1.53 (1.22, 1.92)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1.41 (1.14, 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1.29 (0.99, 1.69)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(0.67,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 (0.91,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(1.06,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1.53 (1.12, 2.08)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2.26 (1.17,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1.37 (1.03, 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(0.65,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(0.33, 1.29)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(0.32,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(0.39,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(0.37, 0.76)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 (0.63,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(0.78,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 (0.83,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 (0.83, 1.61)</w:t>
            </w:r>
          </w:p>
        </w:tc>
      </w:tr>
      <w:tr>
        <w:trPr>
          <w:trHeight w:val="61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(0.87,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(0.76, 1.13)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 (0.80, 1.41)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(0.89, 1.59)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1.46 (1.11, 1.90)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1.66 (1.21, 2.23)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C. Posterior probability of direction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340"/>
        <w:gridCol w:w="1463"/>
        <w:gridCol w:w="1585"/>
        <w:gridCol w:w="158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Pr(OR &gt; 1) for the cumulative estimate in B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0-7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8-14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15-21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Lag 22-28 d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</w:tr>
      <w:tr>
        <w:trPr>
          <w:trHeight w:val="57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Snow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</w:tr>
      <w:tr>
        <w:trPr>
          <w:trHeight w:val="575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</w:tr>
    </w:tbl>
    <w:p>
      <w:pPr>
        <w:pStyle w:val="Normal"/>
      </w:pPr>
      <w:r>
        <w:t xml:space="preserve">Note. Bayesian case-crossover distributed lag model fitted in INLA (conditional Poisson). Symmetric bidirectional referents, daily, ±14 to ±28 days. Estimates are per +0.5 SD increase, except temperature which is per +5 °C above a 10 °C threshold. Wild bird abundance (Anseriformes) is modelled as a random-walk smooth across weekly lag knots. Panel C reports the posterior probability that the odds ratio exceeds 1; values near 0 and near 1 are both strong evidence, in opposite directions. n = 85 spillover events.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2026-08-26T18:34:40Z</dcterms:modified>
  <cp:category/>
</cp:coreProperties>
</file>