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89"/>
        <w:gridCol w:w="2000"/>
        <w:gridCol w:w="1935"/>
        <w:gridCol w:w="2711"/>
        <w:gridCol w:w="2647"/>
      </w:tblGrid>
      <w:tr>
        <w:trPr>
          <w:trHeight w:val="599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OR (flat, 95% CrI)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P(effect &gt; 0) | flat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OR (informative, 95% CrI)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P(effect &gt; 0) | informative</w:t>
            </w:r>
          </w:p>
        </w:tc>
      </w:tr>
      <w:tr>
        <w:trPr>
          <w:trHeight w:val="59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1.16 (0.39, 3.44)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1.20 (0.42, 3.22)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0.630</w:t>
            </w:r>
          </w:p>
        </w:tc>
      </w:tr>
      <w:tr>
        <w:trPr>
          <w:trHeight w:val="59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0.78 (0.15, 3.88)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0.83 (0.21, 3.28)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0.399</w:t>
            </w:r>
          </w:p>
        </w:tc>
      </w:tr>
      <w:tr>
        <w:trPr>
          <w:trHeight w:val="59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2.18 (0.74, 6.56)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1.76 (0.65, 4.67)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0.868</w:t>
            </w:r>
          </w:p>
        </w:tc>
      </w:tr>
      <w:tr>
        <w:trPr>
          <w:trHeight w:val="597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1.38 (0.21, 8.65)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1.22 (0.27, 5.61)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0.595</w:t>
            </w:r>
          </w:p>
        </w:tc>
      </w:tr>
      <w:tr>
        <w:trPr>
          <w:trHeight w:val="60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1.44 (0.33, 6.39)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1.32 (0.35, 4.96)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0.662</w:t>
            </w:r>
          </w:p>
        </w:tc>
      </w:tr>
      <w:tr>
        <w:trPr>
          <w:trHeight w:val="597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Anseriformes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2.55 (1.13, 5.80)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0.988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2.24 (1.05, 4.72)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0.982</w:t>
            </w:r>
          </w:p>
        </w:tc>
      </w:tr>
    </w:tbl>
    <w:p>
      <w:pPr>
        <w:pStyle w:val="Normal"/>
      </w:pPr>
      <w:r>
        <w:t xml:space="preserve">Bayesian posterior summaries for cumulative effects (per +0.5 SD, lag 0-28 d) from the time-stratified daily case-crossover DLNM. Flat prior: asymptotic MVN approximation of the conditional logistic partial likelihood under an improper uniform prior. Informative prior: each crossbasis coefficient ~ N(0, 0.3), weakly regularizing toward zero (prevents extreme estimates from over-fit basis columns without anchoring to any directional hypothesis). Median odds ratio with 95% credible interval; P(effect &gt; 0) is the posterior probability that the cumulative log-OR exceeds zero. P(effect &gt; 0) &gt; 0.95 corresponds to a 95% credible interval that excludes the null on one side.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2026-05-14T01:04:49Z</dcterms:modified>
  <cp:category/>
</cp:coreProperties>
</file>