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Sx. Variable-level LASSO selection summary for crossbasis predictors</w:t>
      </w:r>
    </w:p>
    <w:p>
      <w:pPr>
        <w:pStyle w:val="Normal"/>
      </w:pPr>
      <w:r>
        <w:t xml:space="preserve">Summary of non-zero penalized conditional logistic regression coefficients at the optimal lambda across all 16 candidate exposures. Strata: zone x year x calendar month x day-of-week.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402"/>
        <w:gridCol w:w="2086"/>
        <w:gridCol w:w="1156"/>
        <w:gridCol w:w="1271"/>
        <w:gridCol w:w="961"/>
      </w:tblGrid>
      <w:tr>
        <w:trPr>
          <w:trHeight w:val="61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 Terms (β ≠ 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 Active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|β|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Σ |β|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Shortwave Radiation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0.497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Evapotranspiration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trHeight w:val="5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7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Dewpoint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5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2026-05-13T23:45:48Z</dcterms:modified>
  <cp:category/>
</cp:coreProperties>
</file>