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9"/>
        <w:gridCol w:w="3073"/>
        <w:gridCol w:w="1878"/>
        <w:gridCol w:w="1990"/>
        <w:gridCol w:w="2533"/>
      </w:tblGrid>
      <w:tr>
        <w:trPr>
          <w:trHeight w:val="60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Bidirectional (±7/±14/±21/±28)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Looser (±7/±14)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Tighter (±7)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Time-stratified (primary)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2.09 (1.33, 3.29)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1.63 (0.91, 2.91)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1.77 (0.71, 4.44)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2.57 (1.13, 5.81)</w:t>
            </w:r>
          </w:p>
        </w:tc>
      </w:tr>
      <w:tr>
        <w:trPr>
          <w:trHeight w:val="59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0.87 (0.28, 2.75)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0.91 (0.24, 3.51)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 (0.13, 4.32)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1.38 (0.21, 8.96)</w:t>
            </w:r>
          </w:p>
        </w:tc>
      </w:tr>
      <w:tr>
        <w:trPr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0.62 (0.33,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 (0.30, 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1.03 (0.28, 3.75)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 (0.39, 3.43)</w:t>
            </w:r>
          </w:p>
        </w:tc>
      </w:tr>
      <w:tr>
        <w:trPr>
          <w:trHeight w:val="59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1.53 (0.67, 3.47)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1.40 (0.47, 4.19)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1.30 (0.23, 7.25)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0.78 (0.15, 3.89)</w:t>
            </w:r>
          </w:p>
        </w:tc>
      </w:tr>
      <w:tr>
        <w:trPr>
          <w:trHeight w:val="59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1.76 (0.96, 3.20)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1.43 (0.63, 3.26)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1.58 (0.43, 5.82)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2.22 (0.76, 6.48)</w:t>
            </w:r>
          </w:p>
        </w:tc>
      </w:tr>
      <w:tr>
        <w:trPr>
          <w:trHeight w:val="60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Wind Speed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 (0.43, 2.62)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1.48 (0.45, 4.90)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1.78 (0.27, 11.47)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1.44 (0.32, 6.48)</w:t>
            </w:r>
          </w:p>
        </w:tc>
      </w:tr>
    </w:tbl>
    <w:p>
      <w:pPr>
        <w:pStyle w:val="Normal"/>
      </w:pPr>
      <w:r>
        <w:t xml:space="preserve">Cumulative OR estimates (per +0.5 SD, lag 0-28 d) for the primary case-crossover model under four control-selection schemes. Primary: time-stratified zone × year × month × day-of-week strata (Lu et al. 2020). Bidirectional: 8 controls per case at ±7, ±14, ±21, ±28 days (symmetric pre/post-event). Tighter: 2 controls per case at ±7 d. Looser: 4 controls per case at ±7 and ±14 d. Each scheme creates one stratum per case-zone-day.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2026-05-14T14:46:56Z</dcterms:modified>
  <cp:category/>
</cp:coreProperties>
</file>