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3969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HR (95% CI), lag 0–14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(0.97, 1.51)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(0.90, 1.23)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(0.35, 3.66)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(0.44, 1.97)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(0.81, 1.77)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(0.82, 1.38)</w:t>
            </w:r>
          </w:p>
        </w:tc>
      </w:tr>
    </w:tbl>
    <w:p>
      <w:pPr>
        <w:pStyle w:val="Normal"/>
      </w:pPr>
      <w:r>
        <w:t xml:space="preserve">Cumulative hazard ratios from Andersen-Gill recurrent-event Cox model on the daily zone × day panel, per 0.5 SD increase in each predictor. Baseline hazard stratified by calendar month; cluster-robust SEs clustered on zone.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2026-05-14T00:58:28Z</dcterms:modified>
  <cp:category/>
</cp:coreProperties>
</file>