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1"/>
        <w:gridCol w:w="1084"/>
        <w:gridCol w:w="655"/>
        <w:gridCol w:w="1084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cb_runoff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0.3170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cb_soil_moisture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0.0921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cb_temperature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0.3720</w:t>
            </w:r>
          </w:p>
        </w:tc>
      </w:tr>
      <w:tr>
        <w:trPr>
          <w:trHeight w:val="61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cb_precipitation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0.2470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cb_wind_speed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0.7620</w:t>
            </w:r>
          </w:p>
        </w:tc>
      </w:tr>
      <w:tr>
        <w:trPr>
          <w:trHeight w:val="59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cb_anseriformes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0.0952</w:t>
            </w:r>
          </w:p>
        </w:tc>
      </w:tr>
      <w:tr>
        <w:trPr>
          <w:trHeight w:val="57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GLOBAL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0.2630</w:t>
            </w:r>
          </w:p>
        </w:tc>
      </w:tr>
    </w:tbl>
    <w:p>
      <w:pPr>
        <w:pStyle w:val="Normal"/>
      </w:pPr>
      <w:r>
        <w:t xml:space="preserve">Schoenfeld residual test for the proportional hazards assumption. Low p-values indicate a time-varying effect (PH violation).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2026-05-14T00:58:28Z</dcterms:modified>
  <cp:category/>
</cp:coreProperties>
</file>