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07"/>
        <w:gridCol w:w="3271"/>
        <w:gridCol w:w="2489"/>
      </w:tblGrid>
      <w:tr>
        <w:trPr>
          <w:trHeight w:val="618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Case-crossover OR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Cox AG HR (95% CI)</w:t>
            </w:r>
          </w:p>
        </w:tc>
      </w:tr>
      <w:tr>
        <w:trPr>
          <w:trHeight w:val="616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1.16 (0.39, 3.43)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1.21 (0.97, 1.51)</w:t>
            </w:r>
          </w:p>
        </w:tc>
      </w:tr>
      <w:tr>
        <w:trPr>
          <w:trHeight w:val="616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 (0.15, 3.89)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 (0.90, 1.23)</w:t>
            </w:r>
          </w:p>
        </w:tc>
      </w:tr>
      <w:tr>
        <w:trPr>
          <w:trHeight w:val="616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2.22 (0.76, 6.48)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 (0.35, 3.66)</w:t>
            </w:r>
          </w:p>
        </w:tc>
      </w:tr>
      <w:tr>
        <w:trPr>
          <w:trHeight w:val="616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1.38 (0.21, 8.96)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 (0.44, 1.97)</w:t>
            </w:r>
          </w:p>
        </w:tc>
      </w:tr>
      <w:tr>
        <w:trPr>
          <w:trHeight w:val="619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1.44 (0.32, 6.48)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1.20 (0.81, 1.77)</w:t>
            </w:r>
          </w:p>
        </w:tc>
      </w:tr>
      <w:tr>
        <w:trPr>
          <w:trHeight w:val="616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Anseriformes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2.57 (1.13, 5.81)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 (0.82, 1.38)</w:t>
            </w:r>
          </w:p>
        </w:tc>
      </w:tr>
    </w:tbl>
    <w:p>
      <w:pPr>
        <w:pStyle w:val="Normal"/>
      </w:pPr>
      <w:r>
        <w:t xml:space="preserve">Cumulative effect estimates (per 0.5 SD) for the time-stratified case-crossover model (lag 0–28 d) and the Andersen-Gill Cox sensitivity model (lag 0–14 d, reduced for identifiability).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2026-05-14T00:58:28Z</dcterms:modified>
  <cp:category/>
</cp:coreProperties>
</file>