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5"/>
        <w:gridCol w:w="1878"/>
        <w:gridCol w:w="1990"/>
        <w:gridCol w:w="1990"/>
        <w:gridCol w:w="1990"/>
        <w:gridCol w:w="1990"/>
        <w:gridCol w:w="1990"/>
        <w:gridCol w:w="1990"/>
        <w:gridCol w:w="1990"/>
        <w:gridCol w:w="2768"/>
      </w:tblGrid>
      <w:tr>
        <w:trPr>
          <w:trHeight w:val="60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A_lin_ns3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B_lin_ns4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C_lin_ns5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D_lin_ns6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E_lin_ns7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F_lin_poly4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G_lin_poly5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H_ns2_ns4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I_ns3_ns4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(0.38, 3.30)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 (0.44, 4.42)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 (0.44, 4.42)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1.85 (0.56, 6.11)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1.50 (0.47, 4.80)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 (0.47, 4.85)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1.62 (0.23, 11.18)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(0.03, 20.65)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 (0.16, 4.40)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(0.16, 5.05)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1.23 (0.20, 7.74)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1.89 (0.28, 12.75)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(0.18, 6.60)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(0.17, 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 (0.01, 15.74)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 (0.00, 64.45)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3.15 (0.98, 10.13)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3.70 (1.02, 13.37)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4.09 (1.05, 15.85)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3.99 (1.02, 15.61)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4.06 (1.17, 14.15)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3.68 (0.99, 13.72)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 (0.09, 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 (0.00, 3.90)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(0.16, 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(0.17, 11.97)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1.30 (0.14, 11.81)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 (0.13, 12.08)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1.36 (0.16, 11.37)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(0.16, 14.54)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 (0.02, 9.32)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 (0.00, 0.08)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(0.32,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(0.33, 7.16)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1.55 (0.31, 7.71)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2.17 (0.36, 13.04)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2.01 (0.34, 12.06)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(0.29, 8.13)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1.67 (0.29, 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 (0.02, 5.44)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389.04 (0.07, 2281038.40)</w:t>
            </w:r>
          </w:p>
        </w:tc>
      </w:tr>
      <w:tr>
        <w:trPr>
          <w:trHeight w:val="59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(1.13, 5.81)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2.18 (0.93, 5.10)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2.17 (0.86, 5.52)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2.41 (0.86, 6.76)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2.64 (0.93, 7.52)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2.11 (0.80, 5.57)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2.23 (0.80, 6.19)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3.12 (0.60, 16.18)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5.16 (0.44, 60.20)</w:t>
            </w:r>
          </w:p>
        </w:tc>
      </w:tr>
    </w:tbl>
    <w:p>
      <w:pPr>
        <w:pStyle w:val="Normal"/>
      </w:pPr>
      <w:r>
        <w:t xml:space="preserve">Cumulative odds ratios (lag 0–28 d, per 0.5 SD) across crossbasis specifications. Specification B = primary (argvar lin, arglag ns df=4, bird strata).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2026-05-14T00:58:24Z</dcterms:modified>
  <cp:category/>
</cp:coreProperties>
</file>