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2025"/>
        <w:gridCol w:w="2025"/>
        <w:gridCol w:w="2025"/>
        <w:gridCol w:w="2147"/>
        <w:gridCol w:w="2147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Odds Ratio (95% CI)</w:t>
            </w:r>
          </w:p>
        </w:tc>
      </w:tr>
      <w:tr>
        <w:trPr>
          <w:trHeight w:val="57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0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(0.92, 1.11)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(0.74, 2.27)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 (0.86, 5.17)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3.17 (0.96, 10.48)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 (0.82, 12.66)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(0.92,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 (0.76, 3.99)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 (0.82, 9.45)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 (0.70, 16.39)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 (0.38, 16.80)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(0.93,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(0.56,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(0.30, 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(0.18, 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 (0.17, 2.59)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(0.94,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(0.42,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(0.10,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 (0.03,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(0.02, 1.87)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0.87 (0.78,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0.50 (0.26,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 (0.17,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(0.13, 2.85)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 (0.12, 3.83)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(0.90, 1.19)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(0.49, 2.57)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(0.21, 1.77)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 (0.69, 5.86)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 (0.77, 4.71)</w:t>
            </w:r>
          </w:p>
        </w:tc>
      </w:tr>
    </w:tbl>
    <w:p>
      <w:pPr>
        <w:pStyle w:val="Normal"/>
      </w:pPr>
      <w:r>
        <w:t xml:space="preserve">Table: Cumulative Odds Ratios through weekly anchor lags (≤0, ≤7, ≤14 days) for the daily time-stratified case-crossover model of HPAI outbreaks in Minnesota, 2022. Estimates are per 0.5 SD increase in each predictor. Statistically significant ORs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2026-05-16T13:38:01Z</dcterms:modified>
  <cp:category/>
</cp:coreProperties>
</file>