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1878"/>
        <w:gridCol w:w="2025"/>
        <w:gridCol w:w="2025"/>
        <w:gridCol w:w="2147"/>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Cumulative Odds Ratio (95% CI)</w:t>
            </w:r>
          </w:p>
        </w:tc>
      </w:tr>
      <w:tr>
        <w:trPr>
          <w:trHeight w:val="618"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0–7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8–14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15–21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22–28 d</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Surface 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1.29 (0.74, 2.27)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1.63 (1.04, 2.55)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1.50 (0.99, 2.28)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 (0.70, 1.49)</w:t>
            </w:r>
          </w:p>
        </w:tc>
      </w:tr>
      <w:tr>
        <w:trPr>
          <w:trHeight w:val="61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1.74 (0.76, 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1.60 (0.92,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1.22 (0.74,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0.74 (0.40, 1.37)</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1.04 (0.56,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0.78 (0.45,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0.79 (0.49,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1.03 (0.48, 2.23)</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0.87 (0.42,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0.44 (0.22,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0.49 (0.25,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1.11 (0.66, 1.86)</w:t>
            </w:r>
          </w:p>
        </w:tc>
      </w:tr>
      <w:tr>
        <w:trPr>
          <w:trHeight w:val="61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0.50 (0.26,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 (0.54,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1.23 (0.69,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1.10 (0.67, 1.80)</w:t>
            </w:r>
          </w:p>
        </w:tc>
      </w:tr>
      <w:tr>
        <w:trPr>
          <w:trHeight w:val="61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Cover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0.93 (0.59,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0.60 (0.42,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0.54 (0.37,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0.63 (0.39, 1.03)</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Anseriformes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1.12 (0.49, 2.57)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0.55 (0.17, 1.82)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3.27 (0.88, 12.18)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0.95 (0.43, 2.11)</w:t>
            </w:r>
          </w:p>
        </w:tc>
      </w:tr>
    </w:tbl>
    <w:p>
      <w:pPr>
        <w:pStyle w:val="Normal"/>
      </w:pPr>
      <w:r>
        <w:t xml:space="preserve">Table: Cumulative Odds Ratios by Weekly Lag Window for the Daily Time-Stratified Case-Crossover Model of HPAI Outbreaks in Minnesota, 2022. Each cell reports the cumulative OR over the specified daily lag window per 0.5 SD increase in each predictor. Statistically significant associations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2026-05-16T13:38:01Z</dcterms:modified>
  <cp:category/>
</cp:coreProperties>
</file>