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1878"/>
        <w:gridCol w:w="2025"/>
        <w:gridCol w:w="2025"/>
        <w:gridCol w:w="2147"/>
        <w:gridCol w:w="2025"/>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Cumulative Odds Ratio (95% CI)</w:t>
            </w:r>
          </w:p>
        </w:tc>
      </w:tr>
      <w:tr>
        <w:trPr>
          <w:trHeight w:val="618"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0–7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8–14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15–21 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22–28 d</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Surface 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1.33 (0.71, 2.50)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2.27 (1.32, 3.91)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1.95 (1.14, 3.36)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1.02 (0.65, 1.60)</w:t>
            </w:r>
          </w:p>
        </w:tc>
      </w:tr>
      <w:tr>
        <w:trPr>
          <w:trHeight w:val="61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1.81 (0.67, 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1.81 (0.91,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1.17 (0.59, 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0.83 (0.40, 1.72)</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1.35 (0.64,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0.69 (0.34,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0.66 (0.33,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1.32 (0.49, 3.54)</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1.44 (0.51,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0.35 (0.16,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0.42 (0.18,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1.14 (0.58, 2.26)</w:t>
            </w:r>
          </w:p>
        </w:tc>
      </w:tr>
      <w:tr>
        <w:trPr>
          <w:trHeight w:val="61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0.65 (0.30,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1.51 (0.73, 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0.86 (0.41,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0.97 (0.50, 1.88)</w:t>
            </w:r>
          </w:p>
        </w:tc>
      </w:tr>
      <w:tr>
        <w:trPr>
          <w:trHeight w:val="61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Cover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0.90 (0.52,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0.56 (0.35,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0.40 (0.23, 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0.62 (0.35, 1.09)</w:t>
            </w:r>
          </w:p>
        </w:tc>
      </w:tr>
      <w:tr>
        <w:trPr>
          <w:trHeight w:val="616"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Anseriformes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1.25 (0.49, 3.18)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0.41 (0.11, 1.55)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3.07 (0.68, 13.82)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1.05 (0.42, 2.62)</w:t>
            </w:r>
          </w:p>
        </w:tc>
      </w:tr>
    </w:tbl>
    <w:p>
      <w:pPr>
        <w:pStyle w:val="Normal"/>
      </w:pPr>
      <w:r>
        <w:t xml:space="preserve">Table: Cumulative Odds Ratios by Weekly Lag Window (Flexible DLNM) for HPAI Outbreaks in Minnesota, 2022. Each cell reports the cumulative OR over the specified daily lag window per 0.5 SD increase. Significant ORs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2026-05-16T13:38:01Z</dcterms:modified>
  <cp:category/>
</cp:coreProperties>
</file>