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Sensitivity Analysis: Poultry-density × Runoff Interaction</w:t>
      </w:r>
    </w:p>
    <w:p>
      <w:pPr>
        <w:pStyle w:val="Normal"/>
      </w:pPr>
      <w:r>
        <w:t xml:space="preserve">Sample: 86 cases across 85 strata. Interaction tested via a 3-df runoff × birds_au_z crossbasis on the snow_cover primary spec.</w:t>
      </w:r>
    </w:p>
    <w:p>
      <w:pPr>
        <w:pStyle w:val="Titre2"/>
      </w:pPr>
      <w:r>
        <w:t xml:space="preserve">Model fit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20"/>
        <w:gridCol w:w="1084"/>
        <w:gridCol w:w="912"/>
        <w:gridCol w:w="1230"/>
        <w:gridCol w:w="1132"/>
        <w:gridCol w:w="1084"/>
      </w:tblGrid>
      <w:tr>
        <w:trPr>
          <w:trHeight w:val="61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LRT_chi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LRT_df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LRT_p</w:t>
            </w:r>
          </w:p>
        </w:tc>
      </w:tr>
      <w:tr>
        <w:trPr>
          <w:trHeight w:val="618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 (snow_cover)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243.80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18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 runoff × poultry-density interaction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242.02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0.0508</w:t>
            </w:r>
          </w:p>
        </w:tc>
      </w:tr>
    </w:tbl>
    <w:p>
      <w:pPr>
        <w:pStyle w:val="Titre2"/>
      </w:pPr>
      <w:r>
        <w:t xml:space="preserve">Runoff cumulative OR (per +0.5 SD across lag 0–28 d), at three poultry-density levels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72"/>
        <w:gridCol w:w="1731"/>
        <w:gridCol w:w="1487"/>
        <w:gridCol w:w="3235"/>
      </w:tblGrid>
      <w:tr>
        <w:trPr>
          <w:trHeight w:val="616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Density_label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birds_au_raw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birds_au_z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Cumulative_runoff_OR_95CI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 (10th pctl)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 (0.08, 9.61)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 (50th pctl)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1,263.3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3.20 (0.80, 12.78)</w:t>
            </w:r>
          </w:p>
        </w:tc>
      </w:tr>
      <w:tr>
        <w:trPr>
          <w:trHeight w:val="620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 (90th pctl)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7,382.2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4.43 (0.89, 21.96)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2026-05-16T13:43:44Z</dcterms:modified>
  <cp:category/>
</cp:coreProperties>
</file>