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2025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Referent design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 wk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time-stratified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(0.93, 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(1.04, 1.28)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(1.14, 1.35)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(1.21, 1.48)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(1.24, 1.66)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unidirectional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(0.61, 0.82)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(0.81, 0.97)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(1.04, 1.17)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(1.26, 1.50)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 (1.49, 1.98)</w:t>
            </w:r>
          </w:p>
        </w:tc>
      </w:tr>
    </w:tbl>
    <w:p>
      <w:pPr>
        <w:pStyle w:val="Normal"/>
      </w:pPr>
      <w:r>
        <w:t xml:space="preserve">Per-lag-week odds ratios (per +0.5 SD) for anseriformes abundance, weekly DLNM (lag 0–4 wk, ns df = 2).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2026-06-04T12:27:42Z</dcterms:modified>
  <cp:category/>
</cp:coreProperties>
</file>