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05"/>
        <w:gridCol w:w="2025"/>
        <w:gridCol w:w="2025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Exposure (per +0.5 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unidirectional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time-stratified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species (aggregate)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 (1.18, 2.15)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2.87 (1.92, 4.31)</w:t>
            </w:r>
          </w:p>
        </w:tc>
      </w:tr>
      <w:tr>
        <w:trPr>
          <w:trHeight w:val="62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 (aggregate)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 (1.20, 2.24)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 (1.95, 4.49)</w:t>
            </w:r>
          </w:p>
        </w:tc>
      </w:tr>
    </w:tbl>
    <w:p>
      <w:pPr>
        <w:pStyle w:val="Normal"/>
      </w:pPr>
      <w:r>
        <w:t xml:space="preserve">Cumulative odds ratios (per +0.5 SD, lag 0–4 weeks) for bird abundance and HPAI spillover across 7 Mississippi-flyway states (IA, IL, IN, MI, MN, OH, WI; IND+INR events only). unidirectional = 1:4 matching (controls at weeks -1 to -4); time-stratified = controls in the case's calendar month. N strata (unidirectional) = 175.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2026-06-04T12:27:41Z</dcterms:modified>
  <cp:category/>
</cp:coreProperties>
</file>