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4"/>
        <w:gridCol w:w="1181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strata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(95% CI)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 (7 states)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(1.20, 2.24)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 (0.93, 4.59)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(0.49, 3.54)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 (1.10, 2.39)</w:t>
            </w:r>
          </w:p>
        </w:tc>
      </w:tr>
      <w:tr>
        <w:trPr>
          <w:trHeight w:val="616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 (0.52, 9.90)</w:t>
            </w:r>
          </w:p>
        </w:tc>
      </w:tr>
    </w:tbl>
    <w:p>
      <w:pPr>
        <w:pStyle w:val="Normal"/>
      </w:pPr>
      <w:r>
        <w:t xml:space="preserve">Pooled vs. per-state cumulative ORs for anseriformes abundance (per +0.5 SD, unidirectional design). Per-state estimates limited to states with &gt;=15 outbreaks.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2026-06-04T12:27:42Z</dcterms:modified>
  <cp:category/>
</cp:coreProperties>
</file>